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F1F5F" w:rsidTr="00DF1F5F">
        <w:trPr>
          <w:jc w:val="center"/>
        </w:trPr>
        <w:tc>
          <w:tcPr>
            <w:tcW w:w="743" w:type="dxa"/>
            <w:hideMark/>
          </w:tcPr>
          <w:p w:rsidR="00DF1F5F" w:rsidRDefault="00DF1F5F">
            <w:pPr>
              <w:jc w:val="both"/>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gridSpan w:val="2"/>
            <w:hideMark/>
          </w:tcPr>
          <w:p w:rsidR="00DF1F5F" w:rsidRDefault="00DF1F5F">
            <w:pPr>
              <w:rPr>
                <w:rFonts w:ascii="Arial" w:hAnsi="Arial"/>
                <w:b/>
                <w:bCs/>
                <w:sz w:val="26"/>
                <w:szCs w:val="26"/>
              </w:rPr>
            </w:pPr>
            <w:r>
              <w:rPr>
                <w:rFonts w:ascii="Arial" w:hAnsi="Arial"/>
                <w:b/>
                <w:bCs/>
                <w:sz w:val="26"/>
                <w:szCs w:val="26"/>
                <w:rtl/>
              </w:rPr>
              <w:t>כב' השופטת שושנה ברגר, שופטת בכירה</w:t>
            </w:r>
          </w:p>
        </w:tc>
      </w:tr>
      <w:tr w:rsidR="00DF1F5F" w:rsidTr="00DF1F5F">
        <w:trPr>
          <w:jc w:val="center"/>
        </w:trPr>
        <w:tc>
          <w:tcPr>
            <w:tcW w:w="3249" w:type="dxa"/>
            <w:gridSpan w:val="2"/>
          </w:tcPr>
          <w:p w:rsidR="00DF1F5F" w:rsidRDefault="00DF1F5F">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DF1F5F" w:rsidRDefault="00DF1F5F" w:rsidP="00DF1F5F">
                <w:pPr>
                  <w:bidi w:val="0"/>
                  <w:ind w:left="2112"/>
                  <w:rPr>
                    <w:rFonts w:ascii="Arial" w:hAnsi="Arial"/>
                    <w:b/>
                    <w:bCs/>
                    <w:noProof w:val="0"/>
                    <w:sz w:val="26"/>
                    <w:szCs w:val="26"/>
                  </w:rPr>
                </w:pPr>
                <w:r>
                  <w:rPr>
                    <w:rFonts w:ascii="Arial" w:hAnsi="Arial"/>
                    <w:b/>
                    <w:bCs/>
                    <w:noProof w:val="0"/>
                    <w:sz w:val="26"/>
                    <w:szCs w:val="26"/>
                    <w:rtl/>
                  </w:rPr>
                  <w:t>התובעת:</w:t>
                </w:r>
              </w:p>
            </w:sdtContent>
          </w:sdt>
        </w:tc>
        <w:tc>
          <w:tcPr>
            <w:tcW w:w="5571" w:type="dxa"/>
          </w:tcPr>
          <w:p w:rsidR="00DF1F5F" w:rsidRDefault="00DF1F5F">
            <w:pPr>
              <w:rPr>
                <w:rFonts w:ascii="Arial" w:hAnsi="Arial"/>
                <w:b/>
                <w:bCs/>
                <w:noProof w:val="0"/>
                <w:sz w:val="26"/>
                <w:szCs w:val="26"/>
                <w:rtl/>
              </w:rPr>
            </w:pPr>
          </w:p>
          <w:p w:rsidR="00DF1F5F" w:rsidRDefault="004E59A8" w:rsidP="00911580">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911580">
                  <w:rPr>
                    <w:rFonts w:ascii="Arial" w:hAnsi="Arial" w:hint="cs"/>
                    <w:b/>
                    <w:bCs/>
                    <w:noProof w:val="0"/>
                    <w:sz w:val="26"/>
                    <w:szCs w:val="26"/>
                  </w:rPr>
                  <w:t>XXX</w:t>
                </w:r>
              </w:sdtContent>
            </w:sdt>
            <w:r w:rsidR="00DF1F5F">
              <w:rPr>
                <w:rFonts w:ascii="Arial" w:hAnsi="Arial"/>
                <w:b/>
                <w:bCs/>
                <w:noProof w:val="0"/>
                <w:sz w:val="26"/>
                <w:szCs w:val="26"/>
                <w:rtl/>
              </w:rPr>
              <w:t xml:space="preserve"> ת.ז.</w:t>
            </w:r>
            <w:r w:rsidR="00911580">
              <w:rPr>
                <w:rFonts w:ascii="Arial" w:hAnsi="Arial" w:hint="cs"/>
                <w:b/>
                <w:bCs/>
                <w:noProof w:val="0"/>
                <w:sz w:val="26"/>
                <w:szCs w:val="26"/>
                <w:rtl/>
              </w:rPr>
              <w:t xml:space="preserve"> </w:t>
            </w:r>
            <w:r w:rsidR="00911580">
              <w:rPr>
                <w:rFonts w:ascii="Arial" w:hAnsi="Arial" w:hint="cs"/>
                <w:b/>
                <w:bCs/>
                <w:noProof w:val="0"/>
                <w:sz w:val="26"/>
                <w:szCs w:val="26"/>
              </w:rPr>
              <w:t>XXX</w:t>
            </w:r>
          </w:p>
          <w:p w:rsidR="00DF1F5F" w:rsidRDefault="00DF1F5F">
            <w:pPr>
              <w:suppressLineNumbers/>
              <w:rPr>
                <w:b/>
                <w:bCs/>
                <w:noProof w:val="0"/>
                <w:sz w:val="26"/>
                <w:szCs w:val="26"/>
                <w:rtl/>
              </w:rPr>
            </w:pPr>
            <w:r>
              <w:rPr>
                <w:rFonts w:ascii="Arial" w:hAnsi="Arial"/>
                <w:b/>
                <w:bCs/>
                <w:noProof w:val="0"/>
                <w:sz w:val="26"/>
                <w:szCs w:val="26"/>
                <w:rtl/>
              </w:rPr>
              <w:t>ע"י ב"כ עו"ד דין עדני</w:t>
            </w:r>
          </w:p>
        </w:tc>
      </w:tr>
      <w:tr w:rsidR="00DF1F5F" w:rsidTr="00DF1F5F">
        <w:trPr>
          <w:jc w:val="center"/>
        </w:trPr>
        <w:tc>
          <w:tcPr>
            <w:tcW w:w="8820" w:type="dxa"/>
            <w:gridSpan w:val="3"/>
          </w:tcPr>
          <w:p w:rsidR="00DF1F5F" w:rsidRDefault="00DF1F5F">
            <w:pPr>
              <w:rPr>
                <w:rFonts w:ascii="Arial" w:hAnsi="Arial"/>
                <w:b/>
                <w:bCs/>
                <w:noProof w:val="0"/>
                <w:sz w:val="26"/>
                <w:szCs w:val="26"/>
              </w:rPr>
            </w:pPr>
          </w:p>
          <w:p w:rsidR="00DF1F5F" w:rsidRDefault="00DF1F5F">
            <w:pPr>
              <w:jc w:val="center"/>
              <w:rPr>
                <w:rFonts w:ascii="Arial" w:hAnsi="Arial"/>
                <w:b/>
                <w:bCs/>
                <w:noProof w:val="0"/>
                <w:sz w:val="26"/>
                <w:szCs w:val="26"/>
                <w:rtl/>
              </w:rPr>
            </w:pPr>
            <w:r>
              <w:rPr>
                <w:rFonts w:ascii="Arial" w:hAnsi="Arial"/>
                <w:b/>
                <w:bCs/>
                <w:noProof w:val="0"/>
                <w:sz w:val="26"/>
                <w:szCs w:val="26"/>
                <w:rtl/>
              </w:rPr>
              <w:t>נגד</w:t>
            </w:r>
          </w:p>
        </w:tc>
      </w:tr>
      <w:tr w:rsidR="00DF1F5F" w:rsidTr="00DF1F5F">
        <w:trPr>
          <w:jc w:val="center"/>
        </w:trPr>
        <w:tc>
          <w:tcPr>
            <w:tcW w:w="3249" w:type="dxa"/>
            <w:gridSpan w:val="2"/>
          </w:tcPr>
          <w:p w:rsidR="00DF1F5F" w:rsidRDefault="00DF1F5F">
            <w:pPr>
              <w:rPr>
                <w:rFonts w:ascii="Arial" w:hAnsi="Arial"/>
                <w:b/>
                <w:bCs/>
                <w:noProof w:val="0"/>
                <w:sz w:val="26"/>
                <w:szCs w:val="26"/>
              </w:rPr>
            </w:pPr>
          </w:p>
          <w:p w:rsidR="00DF1F5F" w:rsidRDefault="004E59A8">
            <w:pPr>
              <w:rPr>
                <w:rFonts w:ascii="Arial" w:hAnsi="Arial"/>
                <w:b/>
                <w:bCs/>
                <w:noProof w:val="0"/>
                <w:sz w:val="26"/>
                <w:szCs w:val="26"/>
                <w:rtl/>
              </w:rPr>
            </w:pPr>
            <w:sdt>
              <w:sdtPr>
                <w:rPr>
                  <w:b/>
                  <w:bCs/>
                  <w:sz w:val="26"/>
                  <w:szCs w:val="26"/>
                  <w:rtl/>
                </w:rPr>
                <w:alias w:val="1184"/>
                <w:tag w:val="1184"/>
                <w:id w:val="-115141045"/>
                <w:text w:multiLine="1"/>
              </w:sdtPr>
              <w:sdtEndPr/>
              <w:sdtContent>
                <w:r w:rsidR="00DF1F5F">
                  <w:rPr>
                    <w:rFonts w:ascii="Arial" w:hAnsi="Arial"/>
                    <w:b/>
                    <w:bCs/>
                    <w:noProof w:val="0"/>
                    <w:sz w:val="26"/>
                    <w:szCs w:val="26"/>
                    <w:rtl/>
                  </w:rPr>
                  <w:t>הנתבע:</w:t>
                </w:r>
              </w:sdtContent>
            </w:sdt>
          </w:p>
        </w:tc>
        <w:tc>
          <w:tcPr>
            <w:tcW w:w="5571" w:type="dxa"/>
          </w:tcPr>
          <w:p w:rsidR="00DF1F5F" w:rsidRDefault="00DF1F5F">
            <w:pPr>
              <w:rPr>
                <w:rFonts w:ascii="Arial" w:hAnsi="Arial"/>
                <w:b/>
                <w:bCs/>
                <w:noProof w:val="0"/>
                <w:sz w:val="26"/>
                <w:szCs w:val="26"/>
              </w:rPr>
            </w:pPr>
          </w:p>
          <w:p w:rsidR="00DF1F5F" w:rsidRDefault="004E59A8" w:rsidP="00911580">
            <w:pPr>
              <w:suppressLineNumbers/>
              <w:rPr>
                <w:b/>
                <w:bCs/>
                <w:sz w:val="26"/>
                <w:szCs w:val="26"/>
                <w:rtl/>
              </w:rPr>
            </w:pPr>
            <w:sdt>
              <w:sdtPr>
                <w:rPr>
                  <w:b/>
                  <w:bCs/>
                  <w:sz w:val="26"/>
                  <w:szCs w:val="26"/>
                  <w:rtl/>
                </w:rPr>
                <w:alias w:val="1486"/>
                <w:tag w:val="1486"/>
                <w:id w:val="-309872140"/>
                <w:text w:multiLine="1"/>
              </w:sdtPr>
              <w:sdtEndPr/>
              <w:sdtContent>
                <w:r w:rsidR="00911580">
                  <w:rPr>
                    <w:rFonts w:ascii="Arial" w:hAnsi="Arial" w:hint="cs"/>
                    <w:b/>
                    <w:bCs/>
                    <w:noProof w:val="0"/>
                    <w:sz w:val="26"/>
                    <w:szCs w:val="26"/>
                  </w:rPr>
                  <w:t>XXX</w:t>
                </w:r>
              </w:sdtContent>
            </w:sdt>
            <w:r w:rsidR="00DF1F5F">
              <w:rPr>
                <w:b/>
                <w:bCs/>
                <w:sz w:val="26"/>
                <w:szCs w:val="26"/>
                <w:rtl/>
              </w:rPr>
              <w:t xml:space="preserve"> ת.ז.</w:t>
            </w:r>
            <w:r w:rsidR="00911580">
              <w:rPr>
                <w:rFonts w:hint="cs"/>
                <w:b/>
                <w:bCs/>
                <w:sz w:val="26"/>
                <w:szCs w:val="26"/>
                <w:rtl/>
              </w:rPr>
              <w:t xml:space="preserve"> </w:t>
            </w:r>
            <w:r w:rsidR="00911580">
              <w:rPr>
                <w:rFonts w:hint="cs"/>
                <w:b/>
                <w:bCs/>
                <w:sz w:val="26"/>
                <w:szCs w:val="26"/>
              </w:rPr>
              <w:t>XXX</w:t>
            </w:r>
          </w:p>
          <w:p w:rsidR="00DF1F5F" w:rsidRDefault="00DF1F5F">
            <w:pPr>
              <w:suppressLineNumbers/>
              <w:rPr>
                <w:rFonts w:ascii="Arial" w:hAnsi="Arial"/>
                <w:b/>
                <w:bCs/>
                <w:noProof w:val="0"/>
                <w:sz w:val="26"/>
                <w:szCs w:val="26"/>
                <w:rtl/>
              </w:rPr>
            </w:pPr>
            <w:r>
              <w:rPr>
                <w:rFonts w:ascii="Arial" w:hAnsi="Arial"/>
                <w:b/>
                <w:bCs/>
                <w:sz w:val="26"/>
                <w:szCs w:val="26"/>
                <w:rtl/>
              </w:rPr>
              <w:t>ע"י ב"כ עו"ד יאיר אבני</w:t>
            </w:r>
            <w:r>
              <w:rPr>
                <w:rFonts w:ascii="Arial" w:hAnsi="Arial"/>
                <w:b/>
                <w:bCs/>
                <w:noProof w:val="0"/>
                <w:sz w:val="26"/>
                <w:szCs w:val="26"/>
                <w:rtl/>
              </w:rPr>
              <w:t xml:space="preserve"> </w:t>
            </w:r>
          </w:p>
          <w:p w:rsidR="00DF1F5F" w:rsidRDefault="00DF1F5F">
            <w:pPr>
              <w:rPr>
                <w:b/>
                <w:bCs/>
                <w:noProof w:val="0"/>
                <w:sz w:val="26"/>
                <w:szCs w:val="26"/>
              </w:rPr>
            </w:pPr>
          </w:p>
        </w:tc>
      </w:tr>
    </w:tbl>
    <w:p w:rsidR="00694556" w:rsidRPr="00DF1F5F"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DF1F5F" w:rsidRDefault="00180519">
            <w:pPr>
              <w:bidi w:val="0"/>
              <w:jc w:val="center"/>
              <w:rPr>
                <w:rFonts w:ascii="Arial" w:hAnsi="Arial"/>
                <w:b/>
                <w:bCs/>
                <w:noProof w:val="0"/>
                <w:sz w:val="30"/>
                <w:szCs w:val="30"/>
                <w:u w:val="single"/>
              </w:rPr>
            </w:pPr>
            <w:r w:rsidRPr="00DF1F5F">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DF1F5F" w:rsidRPr="00CA1297" w:rsidRDefault="00DF1F5F" w:rsidP="00911580">
      <w:pPr>
        <w:spacing w:line="360" w:lineRule="auto"/>
        <w:ind w:left="-142"/>
        <w:jc w:val="both"/>
        <w:rPr>
          <w:rFonts w:ascii="David" w:hAnsi="David"/>
          <w:noProof w:val="0"/>
        </w:rPr>
      </w:pPr>
      <w:r w:rsidRPr="00CA1297">
        <w:rPr>
          <w:rFonts w:ascii="David" w:hAnsi="David"/>
          <w:rtl/>
        </w:rPr>
        <w:t>בפניי בקשה לפסילת חוו"ד מומחה שמונה על ידי בית המשפט ומינוי מומחה חלופי (להלן: "</w:t>
      </w:r>
      <w:r w:rsidRPr="00CA1297">
        <w:rPr>
          <w:rFonts w:ascii="David" w:hAnsi="David"/>
          <w:b/>
          <w:bCs/>
          <w:rtl/>
        </w:rPr>
        <w:t>הבקשה</w:t>
      </w:r>
      <w:r w:rsidRPr="00CA1297">
        <w:rPr>
          <w:rFonts w:ascii="David" w:hAnsi="David"/>
          <w:rtl/>
        </w:rPr>
        <w:t xml:space="preserve">") אשר הוגשה על ידי מר </w:t>
      </w:r>
      <w:r w:rsidR="00911580">
        <w:rPr>
          <w:rFonts w:ascii="David" w:hAnsi="David" w:hint="cs"/>
        </w:rPr>
        <w:t>XXX</w:t>
      </w:r>
      <w:r w:rsidRPr="00CA1297">
        <w:rPr>
          <w:rFonts w:ascii="David" w:hAnsi="David"/>
          <w:rtl/>
        </w:rPr>
        <w:t xml:space="preserve"> (להלן: "</w:t>
      </w:r>
      <w:r w:rsidRPr="00CA1297">
        <w:rPr>
          <w:rFonts w:ascii="David" w:hAnsi="David"/>
          <w:b/>
          <w:bCs/>
          <w:rtl/>
        </w:rPr>
        <w:t>המבקש</w:t>
      </w:r>
      <w:r w:rsidRPr="00CA1297">
        <w:rPr>
          <w:rFonts w:ascii="David" w:hAnsi="David"/>
          <w:rtl/>
        </w:rPr>
        <w:t xml:space="preserve">") במסגרת ההליכים המתנהלים בינו לבין הגב' </w:t>
      </w:r>
      <w:r w:rsidR="00911580">
        <w:rPr>
          <w:rFonts w:ascii="David" w:hAnsi="David" w:hint="cs"/>
        </w:rPr>
        <w:t>XXX</w:t>
      </w:r>
      <w:r w:rsidR="00911580">
        <w:rPr>
          <w:rFonts w:ascii="David" w:hAnsi="David" w:hint="cs"/>
          <w:rtl/>
        </w:rPr>
        <w:t xml:space="preserve"> </w:t>
      </w:r>
      <w:r w:rsidRPr="00CA1297">
        <w:rPr>
          <w:rFonts w:ascii="David" w:hAnsi="David"/>
          <w:rtl/>
        </w:rPr>
        <w:t>(להלן: "</w:t>
      </w:r>
      <w:r w:rsidRPr="00CA1297">
        <w:rPr>
          <w:rFonts w:ascii="David" w:hAnsi="David"/>
          <w:b/>
          <w:bCs/>
          <w:rtl/>
        </w:rPr>
        <w:t>המשיבה</w:t>
      </w:r>
      <w:r w:rsidRPr="00CA1297">
        <w:rPr>
          <w:rFonts w:ascii="David" w:hAnsi="David"/>
          <w:rtl/>
        </w:rPr>
        <w:t>").</w:t>
      </w:r>
    </w:p>
    <w:p w:rsidR="00DF1F5F" w:rsidRPr="00CA1297" w:rsidRDefault="00DF1F5F" w:rsidP="00CA1297">
      <w:pPr>
        <w:spacing w:line="360" w:lineRule="auto"/>
        <w:jc w:val="both"/>
        <w:rPr>
          <w:rFonts w:ascii="David" w:hAnsi="David"/>
          <w:rtl/>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z w:val="24"/>
          <w:szCs w:val="24"/>
          <w:rtl/>
        </w:rPr>
        <w:t>הבקשה הוגשה ביום 27.6.24, במסגרתה טען המבקש כדלקמן (סעיפים 16-17 לבקשה):</w:t>
      </w:r>
    </w:p>
    <w:p w:rsidR="00DF1F5F" w:rsidRPr="00CA1297" w:rsidRDefault="00DF1F5F" w:rsidP="00CA1297">
      <w:pPr>
        <w:pStyle w:val="ad"/>
        <w:spacing w:after="0" w:line="360" w:lineRule="auto"/>
        <w:ind w:left="283"/>
        <w:jc w:val="both"/>
        <w:rPr>
          <w:rFonts w:ascii="David" w:hAnsi="David" w:cs="David"/>
          <w:sz w:val="24"/>
          <w:szCs w:val="24"/>
        </w:rPr>
      </w:pPr>
      <w:r w:rsidRPr="00CA1297">
        <w:rPr>
          <w:rFonts w:ascii="David" w:hAnsi="David" w:cs="David"/>
          <w:noProof/>
          <w:sz w:val="24"/>
          <w:szCs w:val="24"/>
        </w:rPr>
        <w:drawing>
          <wp:inline distT="0" distB="0" distL="0" distR="0">
            <wp:extent cx="5162550" cy="1438275"/>
            <wp:effectExtent l="0" t="0" r="0" b="952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2550" cy="1438275"/>
                    </a:xfrm>
                    <a:prstGeom prst="rect">
                      <a:avLst/>
                    </a:prstGeom>
                    <a:noFill/>
                    <a:ln>
                      <a:noFill/>
                    </a:ln>
                  </pic:spPr>
                </pic:pic>
              </a:graphicData>
            </a:graphic>
          </wp:inline>
        </w:drawing>
      </w:r>
      <w:r w:rsidRPr="00CA1297">
        <w:rPr>
          <w:rFonts w:ascii="David" w:hAnsi="David" w:cs="David"/>
          <w:sz w:val="24"/>
          <w:szCs w:val="24"/>
          <w:rtl/>
        </w:rPr>
        <w:t xml:space="preserve"> </w:t>
      </w:r>
    </w:p>
    <w:p w:rsidR="00DF1F5F" w:rsidRPr="00CA1297" w:rsidRDefault="00DF1F5F" w:rsidP="00CA1297">
      <w:pPr>
        <w:pStyle w:val="ad"/>
        <w:spacing w:after="0" w:line="360" w:lineRule="auto"/>
        <w:ind w:left="283"/>
        <w:jc w:val="both"/>
        <w:rPr>
          <w:rFonts w:ascii="David" w:hAnsi="David" w:cs="David"/>
          <w:sz w:val="24"/>
          <w:szCs w:val="24"/>
        </w:rPr>
      </w:pPr>
      <w:r w:rsidRPr="00CA1297">
        <w:rPr>
          <w:rFonts w:ascii="David" w:hAnsi="David" w:cs="David"/>
          <w:sz w:val="24"/>
          <w:szCs w:val="24"/>
          <w:rtl/>
        </w:rPr>
        <w:t>וכן (בסעיפים 29-31 לבקשה):</w:t>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noProof/>
          <w:sz w:val="24"/>
          <w:szCs w:val="24"/>
        </w:rPr>
        <w:drawing>
          <wp:inline distT="0" distB="0" distL="0" distR="0">
            <wp:extent cx="5153025" cy="7239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3025" cy="723900"/>
                    </a:xfrm>
                    <a:prstGeom prst="rect">
                      <a:avLst/>
                    </a:prstGeom>
                    <a:noFill/>
                    <a:ln>
                      <a:noFill/>
                    </a:ln>
                  </pic:spPr>
                </pic:pic>
              </a:graphicData>
            </a:graphic>
          </wp:inline>
        </w:drawing>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noProof/>
          <w:sz w:val="24"/>
          <w:szCs w:val="24"/>
        </w:rPr>
        <w:lastRenderedPageBreak/>
        <w:drawing>
          <wp:inline distT="0" distB="0" distL="0" distR="0">
            <wp:extent cx="5086350" cy="7239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6350" cy="723900"/>
                    </a:xfrm>
                    <a:prstGeom prst="rect">
                      <a:avLst/>
                    </a:prstGeom>
                    <a:noFill/>
                    <a:ln>
                      <a:noFill/>
                    </a:ln>
                  </pic:spPr>
                </pic:pic>
              </a:graphicData>
            </a:graphic>
          </wp:inline>
        </w:drawing>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noProof/>
          <w:sz w:val="24"/>
          <w:szCs w:val="24"/>
        </w:rPr>
        <w:drawing>
          <wp:inline distT="0" distB="0" distL="0" distR="0">
            <wp:extent cx="5162550" cy="695325"/>
            <wp:effectExtent l="0" t="0" r="0"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2550" cy="695325"/>
                    </a:xfrm>
                    <a:prstGeom prst="rect">
                      <a:avLst/>
                    </a:prstGeom>
                    <a:noFill/>
                    <a:ln>
                      <a:noFill/>
                    </a:ln>
                  </pic:spPr>
                </pic:pic>
              </a:graphicData>
            </a:graphic>
          </wp:inline>
        </w:drawing>
      </w:r>
    </w:p>
    <w:p w:rsidR="00911580" w:rsidRDefault="00911580" w:rsidP="00CA1297">
      <w:pPr>
        <w:pStyle w:val="ad"/>
        <w:spacing w:after="0" w:line="360" w:lineRule="auto"/>
        <w:ind w:left="283"/>
        <w:jc w:val="both"/>
        <w:rPr>
          <w:rFonts w:ascii="David" w:hAnsi="David" w:cs="David"/>
          <w:sz w:val="24"/>
          <w:szCs w:val="24"/>
          <w:rtl/>
        </w:rPr>
      </w:pPr>
    </w:p>
    <w:p w:rsidR="00DF1F5F" w:rsidRPr="00CA1297" w:rsidRDefault="00DF1F5F" w:rsidP="00CA1297">
      <w:pPr>
        <w:pStyle w:val="ad"/>
        <w:spacing w:after="0" w:line="360" w:lineRule="auto"/>
        <w:ind w:left="283"/>
        <w:jc w:val="both"/>
        <w:rPr>
          <w:rFonts w:ascii="David" w:hAnsi="David" w:cs="David"/>
          <w:sz w:val="24"/>
          <w:szCs w:val="24"/>
        </w:rPr>
      </w:pPr>
      <w:r w:rsidRPr="00CA1297">
        <w:rPr>
          <w:rFonts w:ascii="David" w:hAnsi="David" w:cs="David"/>
          <w:sz w:val="24"/>
          <w:szCs w:val="24"/>
          <w:rtl/>
        </w:rPr>
        <w:t>בשל כך, עתר המבקש כדלקמן (סעיפים 32-33 לבקשה):</w:t>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noProof/>
          <w:sz w:val="24"/>
          <w:szCs w:val="24"/>
        </w:rPr>
        <w:drawing>
          <wp:inline distT="0" distB="0" distL="0" distR="0">
            <wp:extent cx="5162550" cy="8953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2550" cy="895350"/>
                    </a:xfrm>
                    <a:prstGeom prst="rect">
                      <a:avLst/>
                    </a:prstGeom>
                    <a:noFill/>
                    <a:ln>
                      <a:noFill/>
                    </a:ln>
                  </pic:spPr>
                </pic:pic>
              </a:graphicData>
            </a:graphic>
          </wp:inline>
        </w:drawing>
      </w:r>
    </w:p>
    <w:p w:rsidR="00DF1F5F" w:rsidRPr="00CA1297" w:rsidRDefault="00DF1F5F" w:rsidP="00CA1297">
      <w:pPr>
        <w:pStyle w:val="ad"/>
        <w:spacing w:after="0" w:line="360" w:lineRule="auto"/>
        <w:ind w:left="283"/>
        <w:jc w:val="both"/>
        <w:rPr>
          <w:rFonts w:ascii="David" w:hAnsi="David" w:cs="David"/>
          <w:sz w:val="24"/>
          <w:szCs w:val="24"/>
        </w:rPr>
      </w:pPr>
      <w:r w:rsidRPr="00CA1297">
        <w:rPr>
          <w:rFonts w:ascii="David" w:hAnsi="David" w:cs="David"/>
          <w:noProof/>
          <w:sz w:val="24"/>
          <w:szCs w:val="24"/>
        </w:rPr>
        <w:drawing>
          <wp:inline distT="0" distB="0" distL="0" distR="0">
            <wp:extent cx="5162550" cy="109537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2550" cy="1095375"/>
                    </a:xfrm>
                    <a:prstGeom prst="rect">
                      <a:avLst/>
                    </a:prstGeom>
                    <a:noFill/>
                    <a:ln>
                      <a:noFill/>
                    </a:ln>
                  </pic:spPr>
                </pic:pic>
              </a:graphicData>
            </a:graphic>
          </wp:inline>
        </w:drawing>
      </w:r>
    </w:p>
    <w:p w:rsidR="00DF1F5F" w:rsidRPr="00CA1297" w:rsidRDefault="00DF1F5F" w:rsidP="00CA1297">
      <w:pPr>
        <w:pStyle w:val="ad"/>
        <w:spacing w:after="0" w:line="360" w:lineRule="auto"/>
        <w:ind w:left="368"/>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Pr>
      </w:pPr>
      <w:r w:rsidRPr="00CA1297">
        <w:rPr>
          <w:rFonts w:ascii="David" w:hAnsi="David" w:cs="David"/>
          <w:sz w:val="24"/>
          <w:szCs w:val="24"/>
          <w:rtl/>
        </w:rPr>
        <w:t xml:space="preserve">תגובת המשיבה הוגשה ביום 1.7.24, במסגרתה עתרה המשיבה לדחות את הבקשה תוך חיוב המבקש בהוצאות המשיבה וכן </w:t>
      </w:r>
      <w:r w:rsidR="008060B4">
        <w:rPr>
          <w:rFonts w:ascii="David" w:hAnsi="David" w:cs="David" w:hint="cs"/>
          <w:sz w:val="24"/>
          <w:szCs w:val="24"/>
          <w:rtl/>
        </w:rPr>
        <w:t xml:space="preserve">בהוצאות </w:t>
      </w:r>
      <w:r w:rsidRPr="00CA1297">
        <w:rPr>
          <w:rFonts w:ascii="David" w:hAnsi="David" w:cs="David"/>
          <w:sz w:val="24"/>
          <w:szCs w:val="24"/>
          <w:rtl/>
        </w:rPr>
        <w:t>לטובת אוצר המדינה.</w:t>
      </w:r>
    </w:p>
    <w:p w:rsidR="00DF1F5F" w:rsidRPr="00CA1297" w:rsidRDefault="00DF1F5F" w:rsidP="00CA1297">
      <w:pPr>
        <w:pStyle w:val="ad"/>
        <w:spacing w:after="0" w:line="360" w:lineRule="auto"/>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z w:val="24"/>
          <w:szCs w:val="24"/>
          <w:rtl/>
        </w:rPr>
        <w:t>אקדים אחרית לראשית, ואציין כי לאחר שבחנתי טענות הצדדים, והחומר שבתיק, ושקלתי היטב בדברים, הגעתי למסקנה כי דין הבקשה להידחות. ואלו טעמיי.</w:t>
      </w:r>
    </w:p>
    <w:p w:rsidR="00DF1F5F" w:rsidRPr="00CA1297" w:rsidRDefault="00DF1F5F" w:rsidP="00CA1297">
      <w:pPr>
        <w:pStyle w:val="ad"/>
        <w:spacing w:after="0" w:line="360" w:lineRule="auto"/>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pacing w:val="10"/>
          <w:sz w:val="24"/>
          <w:szCs w:val="24"/>
          <w:rtl/>
        </w:rPr>
        <w:t>בית המשפט העליון פסק בסוגיה בה עסקינן ב</w:t>
      </w:r>
      <w:r w:rsidRPr="00CA1297">
        <w:rPr>
          <w:rFonts w:ascii="David" w:hAnsi="David" w:cs="David"/>
          <w:sz w:val="24"/>
          <w:szCs w:val="24"/>
          <w:rtl/>
        </w:rPr>
        <w:t>רע"א 1694/23 לביא (ב.י) הנדסה ובנין בע"מ נ' נציגות בית הדירות הרצל רוזנבלום 10-8 בע"מ</w:t>
      </w:r>
      <w:r w:rsidRPr="00CA1297">
        <w:rPr>
          <w:rFonts w:ascii="David" w:hAnsi="David" w:cs="David"/>
          <w:spacing w:val="10"/>
          <w:sz w:val="24"/>
          <w:szCs w:val="24"/>
          <w:rtl/>
        </w:rPr>
        <w:t xml:space="preserve"> [פורסם בנבו] (25.4.23) בפיסקה 10 להחלטתו של </w:t>
      </w:r>
      <w:r w:rsidRPr="00CA1297">
        <w:rPr>
          <w:rFonts w:ascii="David" w:hAnsi="David" w:cs="David"/>
          <w:sz w:val="24"/>
          <w:szCs w:val="24"/>
          <w:rtl/>
        </w:rPr>
        <w:t>כבוד השופט ע' גרוסקופף (להלן: "</w:t>
      </w:r>
      <w:r w:rsidRPr="00CA1297">
        <w:rPr>
          <w:rFonts w:ascii="David" w:hAnsi="David" w:cs="David"/>
          <w:b/>
          <w:bCs/>
          <w:sz w:val="24"/>
          <w:szCs w:val="24"/>
          <w:rtl/>
        </w:rPr>
        <w:t>עניין לביא</w:t>
      </w:r>
      <w:r w:rsidRPr="00CA1297">
        <w:rPr>
          <w:rFonts w:ascii="David" w:hAnsi="David" w:cs="David"/>
          <w:sz w:val="24"/>
          <w:szCs w:val="24"/>
          <w:rtl/>
        </w:rPr>
        <w:t>")</w:t>
      </w:r>
      <w:r w:rsidRPr="00CA1297">
        <w:rPr>
          <w:rFonts w:ascii="David" w:hAnsi="David" w:cs="David"/>
          <w:spacing w:val="10"/>
          <w:sz w:val="24"/>
          <w:szCs w:val="24"/>
          <w:rtl/>
        </w:rPr>
        <w:t xml:space="preserve">: </w:t>
      </w:r>
      <w:r w:rsidRPr="00CA1297">
        <w:rPr>
          <w:rFonts w:ascii="David" w:hAnsi="David" w:cs="David"/>
          <w:b/>
          <w:bCs/>
          <w:spacing w:val="10"/>
          <w:sz w:val="24"/>
          <w:szCs w:val="24"/>
          <w:rtl/>
        </w:rPr>
        <w:t xml:space="preserve">"הלכה היא כי </w:t>
      </w:r>
      <w:r w:rsidRPr="00CA1297">
        <w:rPr>
          <w:rFonts w:ascii="David" w:hAnsi="David" w:cs="David"/>
          <w:b/>
          <w:bCs/>
          <w:spacing w:val="10"/>
          <w:sz w:val="24"/>
          <w:szCs w:val="24"/>
          <w:u w:val="single"/>
          <w:rtl/>
        </w:rPr>
        <w:t>פסילת חוות דעת מומחה שמונה מטעם בית המשפט בהסכמת הצדדים תיעשה רק במקרים נדירים, ומטעמים מיוחדים המצדיקים זאת, למשל כאשר נפל פגם היורד לשורשו של עניין, ושיש בו כדי לגרום לעיוות דין קשה</w:t>
      </w:r>
      <w:r w:rsidRPr="00CA1297">
        <w:rPr>
          <w:rFonts w:ascii="David" w:hAnsi="David" w:cs="David"/>
          <w:b/>
          <w:bCs/>
          <w:spacing w:val="10"/>
          <w:sz w:val="24"/>
          <w:szCs w:val="24"/>
          <w:rtl/>
        </w:rPr>
        <w:t xml:space="preserve"> (</w:t>
      </w:r>
      <w:hyperlink r:id="rId15" w:history="1">
        <w:r w:rsidRPr="00CA1297">
          <w:rPr>
            <w:rStyle w:val="Hyperlink"/>
            <w:rFonts w:ascii="David" w:hAnsi="David" w:cs="David"/>
            <w:b/>
            <w:bCs/>
            <w:color w:val="auto"/>
            <w:spacing w:val="10"/>
            <w:sz w:val="24"/>
            <w:szCs w:val="24"/>
            <w:u w:val="none"/>
            <w:rtl/>
          </w:rPr>
          <w:t>רע"א 3264/21</w:t>
        </w:r>
      </w:hyperlink>
      <w:r w:rsidRPr="00CA1297">
        <w:rPr>
          <w:rFonts w:ascii="David" w:hAnsi="David" w:cs="David"/>
          <w:b/>
          <w:bCs/>
          <w:spacing w:val="10"/>
          <w:sz w:val="24"/>
          <w:szCs w:val="24"/>
          <w:rtl/>
        </w:rPr>
        <w:t xml:space="preserve">  </w:t>
      </w:r>
      <w:r w:rsidRPr="00CA1297">
        <w:rPr>
          <w:rFonts w:ascii="David" w:hAnsi="David" w:cs="David"/>
          <w:b/>
          <w:bCs/>
          <w:sz w:val="24"/>
          <w:szCs w:val="24"/>
          <w:rtl/>
        </w:rPr>
        <w:t>כהן ו-51 אחרים נ' אלקטרה בניה בע"מ</w:t>
      </w:r>
      <w:r w:rsidRPr="00CA1297">
        <w:rPr>
          <w:rFonts w:ascii="David" w:hAnsi="David" w:cs="David"/>
          <w:b/>
          <w:bCs/>
          <w:spacing w:val="10"/>
          <w:sz w:val="24"/>
          <w:szCs w:val="24"/>
          <w:rtl/>
        </w:rPr>
        <w:t xml:space="preserve">, פסקה 18 </w:t>
      </w:r>
      <w:r w:rsidRPr="00CA1297">
        <w:rPr>
          <w:rFonts w:ascii="David" w:hAnsi="David" w:cs="David"/>
          <w:b/>
          <w:bCs/>
          <w:sz w:val="24"/>
          <w:szCs w:val="24"/>
          <w:rtl/>
        </w:rPr>
        <w:t xml:space="preserve">[פורסם בנבו] </w:t>
      </w:r>
      <w:r w:rsidRPr="00CA1297">
        <w:rPr>
          <w:rFonts w:ascii="David" w:hAnsi="David" w:cs="David"/>
          <w:b/>
          <w:bCs/>
          <w:spacing w:val="10"/>
          <w:sz w:val="24"/>
          <w:szCs w:val="24"/>
          <w:rtl/>
        </w:rPr>
        <w:t>(18.7.2021</w:t>
      </w:r>
      <w:r w:rsidRPr="00CA1297">
        <w:rPr>
          <w:rFonts w:ascii="David" w:hAnsi="David" w:cs="David"/>
          <w:b/>
          <w:bCs/>
          <w:spacing w:val="10"/>
          <w:sz w:val="24"/>
          <w:szCs w:val="24"/>
        </w:rPr>
        <w:t>(</w:t>
      </w:r>
      <w:r w:rsidRPr="00CA1297">
        <w:rPr>
          <w:rFonts w:ascii="David" w:hAnsi="David" w:cs="David"/>
          <w:b/>
          <w:bCs/>
          <w:spacing w:val="10"/>
          <w:sz w:val="24"/>
          <w:szCs w:val="24"/>
          <w:rtl/>
        </w:rPr>
        <w:t xml:space="preserve"> (להלן: עניין </w:t>
      </w:r>
      <w:r w:rsidRPr="00CA1297">
        <w:rPr>
          <w:rFonts w:ascii="David" w:hAnsi="David" w:cs="David"/>
          <w:b/>
          <w:bCs/>
          <w:sz w:val="24"/>
          <w:szCs w:val="24"/>
          <w:rtl/>
        </w:rPr>
        <w:t>כהן</w:t>
      </w:r>
      <w:r w:rsidRPr="00CA1297">
        <w:rPr>
          <w:rFonts w:ascii="David" w:hAnsi="David" w:cs="David"/>
          <w:b/>
          <w:bCs/>
          <w:spacing w:val="10"/>
          <w:sz w:val="24"/>
          <w:szCs w:val="24"/>
          <w:rtl/>
        </w:rPr>
        <w:t xml:space="preserve">); </w:t>
      </w:r>
      <w:hyperlink r:id="rId16" w:history="1">
        <w:r w:rsidRPr="00CA1297">
          <w:rPr>
            <w:rStyle w:val="Hyperlink"/>
            <w:rFonts w:ascii="David" w:hAnsi="David" w:cs="David"/>
            <w:b/>
            <w:bCs/>
            <w:color w:val="auto"/>
            <w:spacing w:val="10"/>
            <w:sz w:val="24"/>
            <w:szCs w:val="24"/>
            <w:u w:val="none"/>
            <w:rtl/>
          </w:rPr>
          <w:t>רע"א 6158/22</w:t>
        </w:r>
      </w:hyperlink>
      <w:r w:rsidRPr="00CA1297">
        <w:rPr>
          <w:rFonts w:ascii="David" w:hAnsi="David" w:cs="David"/>
          <w:b/>
          <w:bCs/>
          <w:spacing w:val="10"/>
          <w:sz w:val="24"/>
          <w:szCs w:val="24"/>
          <w:rtl/>
        </w:rPr>
        <w:t xml:space="preserve"> </w:t>
      </w:r>
      <w:r w:rsidRPr="00CA1297">
        <w:rPr>
          <w:rFonts w:ascii="David" w:hAnsi="David" w:cs="David"/>
          <w:b/>
          <w:bCs/>
          <w:sz w:val="24"/>
          <w:szCs w:val="24"/>
          <w:rtl/>
        </w:rPr>
        <w:t>גינדי אחזקות דירות יוקרה בע"מ נ' נציגות הבית המשותף ברחוב חיים זכאי 10 פתח תקווה</w:t>
      </w:r>
      <w:r w:rsidRPr="00CA1297">
        <w:rPr>
          <w:rFonts w:ascii="David" w:hAnsi="David" w:cs="David"/>
          <w:b/>
          <w:bCs/>
          <w:spacing w:val="10"/>
          <w:sz w:val="24"/>
          <w:szCs w:val="24"/>
          <w:rtl/>
        </w:rPr>
        <w:t xml:space="preserve">, פסקה 7 </w:t>
      </w:r>
      <w:r w:rsidRPr="00CA1297">
        <w:rPr>
          <w:rFonts w:ascii="David" w:hAnsi="David" w:cs="David"/>
          <w:b/>
          <w:bCs/>
          <w:sz w:val="24"/>
          <w:szCs w:val="24"/>
          <w:rtl/>
        </w:rPr>
        <w:t xml:space="preserve">[פורסם בנבו] </w:t>
      </w:r>
      <w:r w:rsidRPr="00CA1297">
        <w:rPr>
          <w:rFonts w:ascii="David" w:hAnsi="David" w:cs="David"/>
          <w:b/>
          <w:bCs/>
          <w:spacing w:val="10"/>
          <w:sz w:val="24"/>
          <w:szCs w:val="24"/>
          <w:rtl/>
        </w:rPr>
        <w:t xml:space="preserve">(18.10.2022) (להלן: עניין </w:t>
      </w:r>
      <w:r w:rsidRPr="00CA1297">
        <w:rPr>
          <w:rFonts w:ascii="David" w:hAnsi="David" w:cs="David"/>
          <w:b/>
          <w:bCs/>
          <w:sz w:val="24"/>
          <w:szCs w:val="24"/>
          <w:rtl/>
        </w:rPr>
        <w:t>גינדי</w:t>
      </w:r>
      <w:r w:rsidRPr="00CA1297">
        <w:rPr>
          <w:rFonts w:ascii="David" w:hAnsi="David" w:cs="David"/>
          <w:b/>
          <w:bCs/>
          <w:spacing w:val="10"/>
          <w:sz w:val="24"/>
          <w:szCs w:val="24"/>
          <w:rtl/>
        </w:rPr>
        <w:t xml:space="preserve">)). בבסיס הלכה זו שני טעמים מרכזיים. </w:t>
      </w:r>
      <w:r w:rsidRPr="00CA1297">
        <w:rPr>
          <w:rFonts w:ascii="David" w:hAnsi="David" w:cs="David"/>
          <w:b/>
          <w:bCs/>
          <w:sz w:val="24"/>
          <w:szCs w:val="24"/>
          <w:rtl/>
        </w:rPr>
        <w:t>ראשית</w:t>
      </w:r>
      <w:r w:rsidRPr="00CA1297">
        <w:rPr>
          <w:rFonts w:ascii="David" w:hAnsi="David" w:cs="David"/>
          <w:b/>
          <w:bCs/>
          <w:spacing w:val="10"/>
          <w:sz w:val="24"/>
          <w:szCs w:val="24"/>
          <w:rtl/>
        </w:rPr>
        <w:t xml:space="preserve">, </w:t>
      </w:r>
      <w:r w:rsidRPr="00CA1297">
        <w:rPr>
          <w:rFonts w:ascii="David" w:hAnsi="David" w:cs="David"/>
          <w:b/>
          <w:bCs/>
          <w:spacing w:val="10"/>
          <w:sz w:val="24"/>
          <w:szCs w:val="24"/>
          <w:u w:val="single"/>
          <w:rtl/>
        </w:rPr>
        <w:t>החלפת המומחה כרוכה בעלויות לצדדים ובהתארכות ההליכים, ועל כן יש לאפשר אותה רק כאשר הפגם שנפל בחוות הדעת אינו מאפשר הסתמכות עליה, ואינו בר תיקון</w:t>
      </w:r>
      <w:r w:rsidRPr="00CA1297">
        <w:rPr>
          <w:rFonts w:ascii="David" w:hAnsi="David" w:cs="David"/>
          <w:b/>
          <w:bCs/>
          <w:spacing w:val="10"/>
          <w:sz w:val="24"/>
          <w:szCs w:val="24"/>
          <w:rtl/>
        </w:rPr>
        <w:t xml:space="preserve">; </w:t>
      </w:r>
      <w:r w:rsidRPr="00CA1297">
        <w:rPr>
          <w:rFonts w:ascii="David" w:hAnsi="David" w:cs="David"/>
          <w:b/>
          <w:bCs/>
          <w:sz w:val="24"/>
          <w:szCs w:val="24"/>
          <w:rtl/>
        </w:rPr>
        <w:t>שנית</w:t>
      </w:r>
      <w:r w:rsidRPr="00CA1297">
        <w:rPr>
          <w:rFonts w:ascii="David" w:hAnsi="David" w:cs="David"/>
          <w:b/>
          <w:bCs/>
          <w:spacing w:val="10"/>
          <w:sz w:val="24"/>
          <w:szCs w:val="24"/>
          <w:rtl/>
        </w:rPr>
        <w:t xml:space="preserve">, </w:t>
      </w:r>
      <w:r w:rsidRPr="00CA1297">
        <w:rPr>
          <w:rFonts w:ascii="David" w:hAnsi="David" w:cs="David"/>
          <w:b/>
          <w:bCs/>
          <w:spacing w:val="10"/>
          <w:sz w:val="24"/>
          <w:szCs w:val="24"/>
          <w:u w:val="single"/>
          <w:rtl/>
        </w:rPr>
        <w:t>קיים חשש כי בעלי הדין יבקשו לפסול את חוות הדעת, לא בשל הפגמים שנפלו בה, אלא משום שהתוצאה שנקבעה בה אינה נושאת חן בעיניהם</w:t>
      </w:r>
      <w:r w:rsidRPr="00CA1297">
        <w:rPr>
          <w:rFonts w:ascii="David" w:hAnsi="David" w:cs="David"/>
          <w:b/>
          <w:bCs/>
          <w:spacing w:val="10"/>
          <w:sz w:val="24"/>
          <w:szCs w:val="24"/>
          <w:rtl/>
        </w:rPr>
        <w:t xml:space="preserve"> (</w:t>
      </w:r>
      <w:hyperlink r:id="rId17" w:history="1">
        <w:r w:rsidRPr="00CA1297">
          <w:rPr>
            <w:rStyle w:val="Hyperlink"/>
            <w:rFonts w:ascii="David" w:hAnsi="David" w:cs="David"/>
            <w:b/>
            <w:bCs/>
            <w:color w:val="auto"/>
            <w:spacing w:val="10"/>
            <w:sz w:val="24"/>
            <w:szCs w:val="24"/>
            <w:u w:val="none"/>
            <w:rtl/>
          </w:rPr>
          <w:t>רע"א 4842/20</w:t>
        </w:r>
      </w:hyperlink>
      <w:r w:rsidRPr="00CA1297">
        <w:rPr>
          <w:rFonts w:ascii="David" w:hAnsi="David" w:cs="David"/>
          <w:b/>
          <w:bCs/>
          <w:spacing w:val="10"/>
          <w:sz w:val="24"/>
          <w:szCs w:val="24"/>
          <w:rtl/>
        </w:rPr>
        <w:t xml:space="preserve"> </w:t>
      </w:r>
      <w:r w:rsidRPr="00CA1297">
        <w:rPr>
          <w:rFonts w:ascii="David" w:hAnsi="David" w:cs="David"/>
          <w:b/>
          <w:bCs/>
          <w:sz w:val="24"/>
          <w:szCs w:val="24"/>
          <w:rtl/>
        </w:rPr>
        <w:t>עיריית אשדוד נ' אדמת הצבי השקעות בע"מ</w:t>
      </w:r>
      <w:r w:rsidRPr="00CA1297">
        <w:rPr>
          <w:rFonts w:ascii="David" w:hAnsi="David" w:cs="David"/>
          <w:b/>
          <w:bCs/>
          <w:spacing w:val="10"/>
          <w:sz w:val="24"/>
          <w:szCs w:val="24"/>
          <w:rtl/>
        </w:rPr>
        <w:t xml:space="preserve">, פסקה 23 </w:t>
      </w:r>
      <w:r w:rsidRPr="00CA1297">
        <w:rPr>
          <w:rFonts w:ascii="David" w:hAnsi="David" w:cs="David"/>
          <w:b/>
          <w:bCs/>
          <w:sz w:val="24"/>
          <w:szCs w:val="24"/>
          <w:rtl/>
        </w:rPr>
        <w:t xml:space="preserve">[פורסם בנבו] </w:t>
      </w:r>
      <w:r w:rsidRPr="00CA1297">
        <w:rPr>
          <w:rFonts w:ascii="David" w:hAnsi="David" w:cs="David"/>
          <w:b/>
          <w:bCs/>
          <w:spacing w:val="10"/>
          <w:sz w:val="24"/>
          <w:szCs w:val="24"/>
          <w:rtl/>
        </w:rPr>
        <w:t xml:space="preserve">(9.9.2020); עניין </w:t>
      </w:r>
      <w:r w:rsidRPr="00CA1297">
        <w:rPr>
          <w:rFonts w:ascii="David" w:hAnsi="David" w:cs="David"/>
          <w:b/>
          <w:bCs/>
          <w:sz w:val="24"/>
          <w:szCs w:val="24"/>
          <w:rtl/>
        </w:rPr>
        <w:t>כהן</w:t>
      </w:r>
      <w:r w:rsidRPr="00CA1297">
        <w:rPr>
          <w:rFonts w:ascii="David" w:hAnsi="David" w:cs="David"/>
          <w:b/>
          <w:bCs/>
          <w:spacing w:val="10"/>
          <w:sz w:val="24"/>
          <w:szCs w:val="24"/>
          <w:rtl/>
        </w:rPr>
        <w:t xml:space="preserve">, שם)...". </w:t>
      </w:r>
      <w:r w:rsidRPr="00CA1297">
        <w:rPr>
          <w:rFonts w:ascii="David" w:hAnsi="David" w:cs="David"/>
          <w:sz w:val="24"/>
          <w:szCs w:val="24"/>
          <w:rtl/>
        </w:rPr>
        <w:t>(ההדגשות שלי- ש.ב.).</w:t>
      </w:r>
    </w:p>
    <w:p w:rsidR="00DF1F5F" w:rsidRPr="00CA1297" w:rsidRDefault="00DF1F5F" w:rsidP="00CA1297">
      <w:pPr>
        <w:pStyle w:val="ad"/>
        <w:spacing w:after="0" w:line="360" w:lineRule="auto"/>
        <w:ind w:left="368"/>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Pr>
      </w:pPr>
      <w:r w:rsidRPr="00CA1297">
        <w:rPr>
          <w:rFonts w:ascii="David" w:hAnsi="David" w:cs="David"/>
          <w:spacing w:val="10"/>
          <w:sz w:val="24"/>
          <w:szCs w:val="24"/>
          <w:rtl/>
        </w:rPr>
        <w:t xml:space="preserve">ראו גם: </w:t>
      </w:r>
      <w:r w:rsidRPr="00CA1297">
        <w:rPr>
          <w:rFonts w:ascii="David" w:hAnsi="David" w:cs="David"/>
          <w:b/>
          <w:bCs/>
          <w:spacing w:val="10"/>
          <w:sz w:val="24"/>
          <w:szCs w:val="24"/>
          <w:rtl/>
        </w:rPr>
        <w:t>"</w:t>
      </w:r>
      <w:r w:rsidRPr="00CA1297">
        <w:rPr>
          <w:rFonts w:ascii="David" w:hAnsi="David" w:cs="David"/>
          <w:b/>
          <w:bCs/>
          <w:sz w:val="24"/>
          <w:szCs w:val="24"/>
          <w:rtl/>
        </w:rPr>
        <w:t xml:space="preserve">על בית המשפט לאזן בין ההגנה על הצדדים להליך מפני עיוות דין מחד גיסא, לבין שיקולי מדיניות ובהם - הגנה על מעמדם של מומחים מטעם בית המשפט, יעילות דיונית ומניעת ניצול לרעה של ההליך המשפטי - מאידך גיסא, ולבחור בדרך הפעולה אשר תממש באופן המיטבי את האיזון הראוי" </w:t>
      </w:r>
      <w:r w:rsidRPr="00CA1297">
        <w:rPr>
          <w:rFonts w:ascii="David" w:hAnsi="David" w:cs="David"/>
          <w:sz w:val="24"/>
          <w:szCs w:val="24"/>
          <w:rtl/>
        </w:rPr>
        <w:t>(ראו: רע"א 1834/18 שירותי בריאות כללית נ' פלונית [פורסם בנבו] (3.5.18) בפסקה 13 לפסק דינה של כב' השופטת יעל וילנר).</w:t>
      </w:r>
    </w:p>
    <w:p w:rsidR="00DF1F5F" w:rsidRPr="00CA1297" w:rsidRDefault="00DF1F5F" w:rsidP="00CA1297">
      <w:pPr>
        <w:pStyle w:val="ad"/>
        <w:spacing w:after="0" w:line="360" w:lineRule="auto"/>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z w:val="24"/>
          <w:szCs w:val="24"/>
          <w:rtl/>
        </w:rPr>
        <w:t>בענייננו, נימוקיו של המבקש לפסילת חוו"ד המומחה אינם יורדים לשורשו של עניין. אי</w:t>
      </w:r>
      <w:r w:rsidR="008060B4">
        <w:rPr>
          <w:rFonts w:ascii="David" w:hAnsi="David" w:cs="David" w:hint="cs"/>
          <w:sz w:val="24"/>
          <w:szCs w:val="24"/>
          <w:rtl/>
        </w:rPr>
        <w:t>נ</w:t>
      </w:r>
      <w:r w:rsidRPr="00CA1297">
        <w:rPr>
          <w:rFonts w:ascii="David" w:hAnsi="David" w:cs="David"/>
          <w:sz w:val="24"/>
          <w:szCs w:val="24"/>
          <w:rtl/>
        </w:rPr>
        <w:t xml:space="preserve">ני מוצאת כי נפלו פגמים בחוו"ד המומחה המצדיקים את פסילתה. </w:t>
      </w:r>
    </w:p>
    <w:p w:rsidR="00DF1F5F" w:rsidRPr="00CA1297" w:rsidRDefault="00DF1F5F" w:rsidP="00CA1297">
      <w:pPr>
        <w:pStyle w:val="ad"/>
        <w:spacing w:after="0" w:line="360" w:lineRule="auto"/>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z w:val="24"/>
          <w:szCs w:val="24"/>
          <w:rtl/>
        </w:rPr>
        <w:t>ויוטעם- אינ</w:t>
      </w:r>
      <w:r w:rsidR="008060B4">
        <w:rPr>
          <w:rFonts w:ascii="David" w:hAnsi="David" w:cs="David" w:hint="cs"/>
          <w:sz w:val="24"/>
          <w:szCs w:val="24"/>
          <w:rtl/>
        </w:rPr>
        <w:t>נ</w:t>
      </w:r>
      <w:r w:rsidRPr="00CA1297">
        <w:rPr>
          <w:rFonts w:ascii="David" w:hAnsi="David" w:cs="David"/>
          <w:sz w:val="24"/>
          <w:szCs w:val="24"/>
          <w:rtl/>
        </w:rPr>
        <w:t>י סבורה כי המומחה חרג מסמכותו. אני סבורה כי במקרה דנן היה מקום למצות את אפשרויות המבקש להשיג על חוות דעתו של המומחה שמונה על ידי בית המשפט בהתאם להוראות תקנות בית משפט לענייני משפחה (סדרי דין), תשפ"א-2020 (להלן: "</w:t>
      </w:r>
      <w:r w:rsidRPr="00CA1297">
        <w:rPr>
          <w:rFonts w:ascii="David" w:hAnsi="David" w:cs="David"/>
          <w:b/>
          <w:bCs/>
          <w:sz w:val="24"/>
          <w:szCs w:val="24"/>
          <w:rtl/>
        </w:rPr>
        <w:t>התקנות</w:t>
      </w:r>
      <w:r w:rsidRPr="00CA1297">
        <w:rPr>
          <w:rFonts w:ascii="David" w:hAnsi="David" w:cs="David"/>
          <w:sz w:val="24"/>
          <w:szCs w:val="24"/>
          <w:rtl/>
        </w:rPr>
        <w:t xml:space="preserve">"). כך, היה מקום להגיש שאלות הבהרה למומחה, ולאחר הגשת תשובות המומחה לשאלות ההבהרה, ניתן היה להגיש בקשה לזמן את המומחה לחקירה על חוות דעתו, ובאופן זה לברר את השאלות אשר עשויות לעורר ספק ביחס לחוות דעתו. </w:t>
      </w:r>
    </w:p>
    <w:p w:rsidR="00DF1F5F" w:rsidRPr="00CA1297" w:rsidRDefault="00DF1F5F" w:rsidP="00CA1297">
      <w:pPr>
        <w:pStyle w:val="ad"/>
        <w:spacing w:after="0" w:line="360" w:lineRule="auto"/>
        <w:jc w:val="both"/>
        <w:rPr>
          <w:rFonts w:ascii="David" w:hAnsi="David" w:cs="David"/>
          <w:sz w:val="24"/>
          <w:szCs w:val="24"/>
        </w:rPr>
      </w:pPr>
    </w:p>
    <w:p w:rsidR="00DF1F5F" w:rsidRPr="00CA1297" w:rsidRDefault="00DF1F5F" w:rsidP="00CA1297">
      <w:pPr>
        <w:pStyle w:val="ad"/>
        <w:numPr>
          <w:ilvl w:val="0"/>
          <w:numId w:val="1"/>
        </w:numPr>
        <w:spacing w:after="0" w:line="360" w:lineRule="auto"/>
        <w:ind w:left="283"/>
        <w:jc w:val="both"/>
        <w:rPr>
          <w:rFonts w:ascii="David" w:hAnsi="David" w:cs="David"/>
          <w:sz w:val="24"/>
          <w:szCs w:val="24"/>
          <w:rtl/>
        </w:rPr>
      </w:pPr>
      <w:r w:rsidRPr="00CA1297">
        <w:rPr>
          <w:rFonts w:ascii="David" w:hAnsi="David" w:cs="David"/>
          <w:sz w:val="24"/>
          <w:szCs w:val="24"/>
          <w:rtl/>
        </w:rPr>
        <w:t>כידוע, תקנה 25 (ה) ו-(ו) לתקנות קובעת כדלקמן:</w:t>
      </w:r>
    </w:p>
    <w:p w:rsidR="00DF1F5F" w:rsidRPr="00CA1297" w:rsidRDefault="00DF1F5F" w:rsidP="00CA1297">
      <w:pPr>
        <w:pStyle w:val="Ruller4"/>
        <w:ind w:left="283"/>
        <w:rPr>
          <w:rFonts w:ascii="David" w:hAnsi="David" w:cs="David"/>
          <w:b/>
          <w:bCs/>
          <w:sz w:val="24"/>
          <w:szCs w:val="24"/>
          <w:rtl/>
        </w:rPr>
      </w:pPr>
      <w:r w:rsidRPr="00CA1297">
        <w:rPr>
          <w:rFonts w:ascii="David" w:hAnsi="David" w:cs="David"/>
          <w:b/>
          <w:bCs/>
          <w:sz w:val="24"/>
          <w:szCs w:val="24"/>
          <w:rtl/>
        </w:rPr>
        <w:t>"...</w:t>
      </w:r>
    </w:p>
    <w:p w:rsidR="00DF1F5F" w:rsidRPr="00CA1297" w:rsidRDefault="00DF1F5F" w:rsidP="00CA1297">
      <w:pPr>
        <w:pStyle w:val="Ruller4"/>
        <w:ind w:left="283"/>
        <w:rPr>
          <w:rFonts w:ascii="David" w:hAnsi="David" w:cs="David"/>
          <w:b/>
          <w:bCs/>
          <w:sz w:val="24"/>
          <w:szCs w:val="24"/>
          <w:rtl/>
        </w:rPr>
      </w:pPr>
      <w:r w:rsidRPr="00CA1297">
        <w:rPr>
          <w:rFonts w:ascii="David" w:hAnsi="David" w:cs="David"/>
          <w:b/>
          <w:bCs/>
          <w:sz w:val="24"/>
          <w:szCs w:val="24"/>
          <w:rtl/>
        </w:rPr>
        <w:t>(ה) בעל דין רשאי להגיש למומחה שאלות הבהרה, בכתב, על חוות דעתו בתוך ארבעה עשר ימים מיום שקיבל את חוות הדעת, והמומחה ישיב על השאלות, בכתב, בתוך ארבעה עשר ימים מיום שקיבל את השאלות.</w:t>
      </w:r>
    </w:p>
    <w:p w:rsidR="00DF1F5F" w:rsidRPr="00CA1297" w:rsidRDefault="00DF1F5F" w:rsidP="00CA1297">
      <w:pPr>
        <w:pStyle w:val="Ruller4"/>
        <w:ind w:left="283"/>
        <w:rPr>
          <w:rFonts w:ascii="David" w:hAnsi="David" w:cs="David"/>
          <w:b/>
          <w:bCs/>
          <w:sz w:val="24"/>
          <w:szCs w:val="24"/>
          <w:rtl/>
        </w:rPr>
      </w:pPr>
      <w:r w:rsidRPr="00CA1297">
        <w:rPr>
          <w:rFonts w:ascii="David" w:hAnsi="David" w:cs="David"/>
          <w:b/>
          <w:bCs/>
          <w:sz w:val="24"/>
          <w:szCs w:val="24"/>
          <w:rtl/>
        </w:rPr>
        <w:t>(ו) מומחה שמינה בית המשפט לא יוזמן להיחקר על חוות דעתו אלא ברשות בית המשפט, לאחר שהוגשה בקשה מנומקת לחקור אותו בתוך ארבעה עשר ימים מיום קבלת התשובות לשאלות ההבהרה, למעט אם הורה בית המשפט כי בעל הדין יהיה רשאי לחקור את המומחה גם אם לא הגיש שאלות הבהרה".</w:t>
      </w:r>
    </w:p>
    <w:p w:rsidR="00DF1F5F" w:rsidRPr="00CA1297" w:rsidRDefault="00DF1F5F" w:rsidP="00CA1297">
      <w:pPr>
        <w:pStyle w:val="Ruller4"/>
        <w:rPr>
          <w:rFonts w:ascii="David" w:hAnsi="David" w:cs="David"/>
          <w:sz w:val="24"/>
          <w:szCs w:val="24"/>
          <w:rtl/>
        </w:rPr>
      </w:pPr>
    </w:p>
    <w:p w:rsidR="00DF1F5F" w:rsidRPr="00CA1297" w:rsidRDefault="00DF1F5F" w:rsidP="00CA1297">
      <w:pPr>
        <w:pStyle w:val="Ruller4"/>
        <w:ind w:left="283"/>
        <w:rPr>
          <w:rFonts w:ascii="David" w:hAnsi="David" w:cs="David"/>
          <w:sz w:val="24"/>
          <w:szCs w:val="24"/>
          <w:u w:val="single"/>
          <w:rtl/>
        </w:rPr>
      </w:pPr>
      <w:r w:rsidRPr="00CA1297">
        <w:rPr>
          <w:rFonts w:ascii="David" w:hAnsi="David" w:cs="David"/>
          <w:sz w:val="24"/>
          <w:szCs w:val="24"/>
          <w:u w:val="single"/>
          <w:rtl/>
        </w:rPr>
        <w:t xml:space="preserve">התקנות קבעו את דרך המלך, וזוהי הדרך בה יש לצעוד גם במקרה דנא. </w:t>
      </w:r>
    </w:p>
    <w:p w:rsidR="00DF1F5F" w:rsidRPr="00CA1297" w:rsidRDefault="00DF1F5F" w:rsidP="00CA1297">
      <w:pPr>
        <w:pStyle w:val="Ruller4"/>
        <w:rPr>
          <w:rFonts w:ascii="David" w:hAnsi="David" w:cs="David"/>
          <w:sz w:val="24"/>
          <w:szCs w:val="24"/>
          <w:rtl/>
        </w:rPr>
      </w:pPr>
    </w:p>
    <w:p w:rsidR="00DF1F5F" w:rsidRPr="00CA1297" w:rsidRDefault="00DF1F5F" w:rsidP="00CA1297">
      <w:pPr>
        <w:pStyle w:val="Ruller4"/>
        <w:numPr>
          <w:ilvl w:val="0"/>
          <w:numId w:val="1"/>
        </w:numPr>
        <w:tabs>
          <w:tab w:val="left" w:pos="283"/>
        </w:tabs>
        <w:ind w:left="283"/>
        <w:rPr>
          <w:rFonts w:ascii="David" w:hAnsi="David" w:cs="David"/>
          <w:sz w:val="24"/>
          <w:szCs w:val="24"/>
          <w:rtl/>
        </w:rPr>
      </w:pPr>
      <w:r w:rsidRPr="00CA1297">
        <w:rPr>
          <w:rFonts w:ascii="David" w:hAnsi="David" w:cs="David"/>
          <w:sz w:val="24"/>
          <w:szCs w:val="24"/>
          <w:rtl/>
        </w:rPr>
        <w:t>כל טענה כלפי חוו"ד המומחה מטעם מי מהצדדים תמצא את מקומה במסגרת שאלות ההבהרה שיוגשו למומחה, ולאחר מכן, במידת הצורך, בחקירת המומחה על חוו"ד.</w:t>
      </w:r>
    </w:p>
    <w:p w:rsidR="00DF1F5F" w:rsidRPr="00CA1297" w:rsidRDefault="00DF1F5F" w:rsidP="00CA1297">
      <w:pPr>
        <w:pStyle w:val="Ruller4"/>
        <w:tabs>
          <w:tab w:val="left" w:pos="283"/>
        </w:tabs>
        <w:ind w:left="283"/>
        <w:rPr>
          <w:rFonts w:ascii="David" w:hAnsi="David" w:cs="David"/>
          <w:sz w:val="24"/>
          <w:szCs w:val="24"/>
        </w:rPr>
      </w:pPr>
    </w:p>
    <w:p w:rsidR="00DF1F5F" w:rsidRPr="00CA1297" w:rsidRDefault="00DF1F5F" w:rsidP="00CA1297">
      <w:pPr>
        <w:pStyle w:val="Ruller4"/>
        <w:numPr>
          <w:ilvl w:val="0"/>
          <w:numId w:val="1"/>
        </w:numPr>
        <w:tabs>
          <w:tab w:val="left" w:pos="283"/>
        </w:tabs>
        <w:ind w:left="283"/>
        <w:rPr>
          <w:rFonts w:ascii="David" w:hAnsi="David" w:cs="David"/>
          <w:sz w:val="24"/>
          <w:szCs w:val="24"/>
        </w:rPr>
      </w:pPr>
      <w:r w:rsidRPr="00CA1297">
        <w:rPr>
          <w:rFonts w:ascii="David" w:hAnsi="David" w:cs="David"/>
          <w:sz w:val="24"/>
          <w:szCs w:val="24"/>
          <w:rtl/>
        </w:rPr>
        <w:t>בנסיבות אלו, אין מקום להיעתר לבקשה, והיא נדחית.</w:t>
      </w:r>
    </w:p>
    <w:p w:rsidR="00DF1F5F" w:rsidRPr="00CA1297" w:rsidRDefault="00DF1F5F" w:rsidP="00CA1297">
      <w:pPr>
        <w:pStyle w:val="ad"/>
        <w:tabs>
          <w:tab w:val="left" w:pos="283"/>
        </w:tabs>
        <w:spacing w:after="0" w:line="360" w:lineRule="auto"/>
        <w:ind w:left="283"/>
        <w:jc w:val="both"/>
        <w:rPr>
          <w:rFonts w:ascii="David" w:hAnsi="David" w:cs="David"/>
          <w:sz w:val="24"/>
          <w:szCs w:val="24"/>
        </w:rPr>
      </w:pPr>
    </w:p>
    <w:p w:rsidR="00DF1F5F" w:rsidRPr="00CA1297" w:rsidRDefault="00DF1F5F" w:rsidP="00CA1297">
      <w:pPr>
        <w:pStyle w:val="Ruller4"/>
        <w:numPr>
          <w:ilvl w:val="0"/>
          <w:numId w:val="1"/>
        </w:numPr>
        <w:tabs>
          <w:tab w:val="left" w:pos="283"/>
        </w:tabs>
        <w:ind w:left="283"/>
        <w:rPr>
          <w:rFonts w:ascii="David" w:hAnsi="David" w:cs="David"/>
          <w:sz w:val="24"/>
          <w:szCs w:val="24"/>
          <w:rtl/>
        </w:rPr>
      </w:pPr>
      <w:r w:rsidRPr="00CA1297">
        <w:rPr>
          <w:rFonts w:ascii="David" w:hAnsi="David" w:cs="David"/>
          <w:sz w:val="24"/>
          <w:szCs w:val="24"/>
          <w:rtl/>
        </w:rPr>
        <w:t>ניתנת בזאת ארכה בת 14 יום לצדדים להגיש שאלות הבהרה למומחה. המומחה יגיש תשובותיו 14 יום לאחר מכן. הצדדים רשאים לפעול על פי הוראות תקנה 25 (ו) לתקנות, כאמור.</w:t>
      </w:r>
    </w:p>
    <w:p w:rsidR="00DF1F5F" w:rsidRPr="00CA1297" w:rsidRDefault="00DF1F5F" w:rsidP="00CA1297">
      <w:pPr>
        <w:pStyle w:val="ad"/>
        <w:tabs>
          <w:tab w:val="left" w:pos="283"/>
        </w:tabs>
        <w:spacing w:after="0" w:line="360" w:lineRule="auto"/>
        <w:ind w:left="283"/>
        <w:jc w:val="both"/>
        <w:rPr>
          <w:rFonts w:ascii="David" w:hAnsi="David" w:cs="David"/>
          <w:sz w:val="24"/>
          <w:szCs w:val="24"/>
        </w:rPr>
      </w:pPr>
    </w:p>
    <w:p w:rsidR="00DF1F5F" w:rsidRPr="00CA1297" w:rsidRDefault="00DF1F5F" w:rsidP="00CA1297">
      <w:pPr>
        <w:pStyle w:val="Ruller4"/>
        <w:numPr>
          <w:ilvl w:val="0"/>
          <w:numId w:val="1"/>
        </w:numPr>
        <w:tabs>
          <w:tab w:val="left" w:pos="283"/>
        </w:tabs>
        <w:ind w:left="283"/>
        <w:rPr>
          <w:rFonts w:ascii="David" w:hAnsi="David" w:cs="David"/>
          <w:sz w:val="24"/>
          <w:szCs w:val="24"/>
          <w:rtl/>
        </w:rPr>
      </w:pPr>
      <w:r w:rsidRPr="00CA1297">
        <w:rPr>
          <w:rFonts w:ascii="David" w:hAnsi="David" w:cs="David"/>
          <w:sz w:val="24"/>
          <w:szCs w:val="24"/>
          <w:rtl/>
        </w:rPr>
        <w:t>שאלת ההוצאות תידון בסיום ההליך, במידת הצורך, ולאור תוצאתו.</w:t>
      </w:r>
    </w:p>
    <w:p w:rsidR="00DF1F5F" w:rsidRPr="00CA1297" w:rsidRDefault="00DF1F5F" w:rsidP="00CA1297">
      <w:pPr>
        <w:pStyle w:val="ad"/>
        <w:spacing w:after="0" w:line="360" w:lineRule="auto"/>
        <w:jc w:val="both"/>
        <w:rPr>
          <w:rFonts w:ascii="David" w:hAnsi="David" w:cs="David"/>
          <w:sz w:val="24"/>
          <w:szCs w:val="24"/>
          <w:rtl/>
        </w:rPr>
      </w:pPr>
    </w:p>
    <w:p w:rsidR="00DF1F5F" w:rsidRPr="00CA1297" w:rsidRDefault="00DF1F5F" w:rsidP="00CA1297">
      <w:pPr>
        <w:pStyle w:val="Ruller4"/>
        <w:numPr>
          <w:ilvl w:val="0"/>
          <w:numId w:val="1"/>
        </w:numPr>
        <w:tabs>
          <w:tab w:val="left" w:pos="283"/>
        </w:tabs>
        <w:ind w:left="283"/>
        <w:rPr>
          <w:rFonts w:ascii="David" w:hAnsi="David" w:cs="David"/>
          <w:sz w:val="24"/>
          <w:szCs w:val="24"/>
          <w:rtl/>
        </w:rPr>
      </w:pPr>
      <w:r w:rsidRPr="00CA1297">
        <w:rPr>
          <w:rFonts w:ascii="David" w:hAnsi="David" w:cs="David"/>
          <w:sz w:val="24"/>
          <w:szCs w:val="24"/>
          <w:rtl/>
        </w:rPr>
        <w:t>כזכור, התיק קבוע לשמיעת ראיות ליום 26.2.25 בשעה 11:00, וליום 17.3.25 בשעה 11:00.</w:t>
      </w:r>
    </w:p>
    <w:p w:rsidR="00DF1F5F" w:rsidRPr="00CA1297" w:rsidRDefault="00DF1F5F" w:rsidP="00CA1297">
      <w:pPr>
        <w:pStyle w:val="ad"/>
        <w:tabs>
          <w:tab w:val="left" w:pos="283"/>
        </w:tabs>
        <w:spacing w:after="0" w:line="360" w:lineRule="auto"/>
        <w:ind w:left="283"/>
        <w:jc w:val="both"/>
        <w:rPr>
          <w:rFonts w:ascii="David" w:hAnsi="David" w:cs="David"/>
          <w:sz w:val="24"/>
          <w:szCs w:val="24"/>
        </w:rPr>
      </w:pPr>
    </w:p>
    <w:p w:rsidR="00DF1F5F" w:rsidRPr="00CA1297" w:rsidRDefault="00DF1F5F" w:rsidP="00CA1297">
      <w:pPr>
        <w:pStyle w:val="Ruller4"/>
        <w:numPr>
          <w:ilvl w:val="0"/>
          <w:numId w:val="1"/>
        </w:numPr>
        <w:tabs>
          <w:tab w:val="left" w:pos="283"/>
        </w:tabs>
        <w:ind w:left="283"/>
        <w:rPr>
          <w:rFonts w:ascii="David" w:hAnsi="David" w:cs="David"/>
          <w:sz w:val="24"/>
          <w:szCs w:val="24"/>
        </w:rPr>
      </w:pPr>
      <w:r w:rsidRPr="00CA1297">
        <w:rPr>
          <w:rFonts w:ascii="David" w:hAnsi="David" w:cs="David"/>
          <w:sz w:val="24"/>
          <w:szCs w:val="24"/>
          <w:rtl/>
        </w:rPr>
        <w:lastRenderedPageBreak/>
        <w:t>עדויות ראשיות של הצדדים ושל העדים מטעמם יוגשו בתצהירים: התובעת תגיש תצהירי עדות ראשית תוך 45 יום והנתבע יגיש תצהירי עדות ראשית תוך 45 יום לאחר מכן.</w:t>
      </w:r>
    </w:p>
    <w:p w:rsidR="00DF1F5F" w:rsidRPr="00CA1297" w:rsidRDefault="00DF1F5F" w:rsidP="00CA1297">
      <w:pPr>
        <w:pStyle w:val="Ruller4"/>
        <w:tabs>
          <w:tab w:val="left" w:pos="283"/>
        </w:tabs>
        <w:ind w:left="283"/>
        <w:rPr>
          <w:rFonts w:ascii="David" w:hAnsi="David" w:cs="David"/>
          <w:sz w:val="24"/>
          <w:szCs w:val="24"/>
        </w:rPr>
      </w:pPr>
      <w:r w:rsidRPr="00CA1297">
        <w:rPr>
          <w:rFonts w:ascii="David" w:hAnsi="David" w:cs="David"/>
          <w:sz w:val="24"/>
          <w:szCs w:val="24"/>
          <w:rtl/>
        </w:rPr>
        <w:t>לתצהירי העדות הראשית, יצרפו הצדדים כל מסמך שבדעתם להסתמך עליו. מסמך שלא יצורף לא תותר הגשתו אלא ברשות ביהמ"ש.</w:t>
      </w:r>
    </w:p>
    <w:p w:rsidR="00DF1F5F" w:rsidRPr="00CA1297" w:rsidRDefault="00DF1F5F" w:rsidP="00CA1297">
      <w:pPr>
        <w:pStyle w:val="ad"/>
        <w:spacing w:after="0" w:line="360" w:lineRule="auto"/>
        <w:ind w:left="283"/>
        <w:jc w:val="both"/>
        <w:rPr>
          <w:rFonts w:ascii="David" w:hAnsi="David" w:cs="David"/>
          <w:b/>
          <w:bCs/>
          <w:sz w:val="24"/>
          <w:szCs w:val="24"/>
          <w:rtl/>
        </w:rPr>
      </w:pPr>
      <w:r w:rsidRPr="00CA1297">
        <w:rPr>
          <w:rFonts w:ascii="David" w:hAnsi="David" w:cs="David"/>
          <w:b/>
          <w:bCs/>
          <w:sz w:val="24"/>
          <w:szCs w:val="24"/>
          <w:rtl/>
        </w:rPr>
        <w:t xml:space="preserve">יודגש - על כל צד למסור שני (2) עותקים לבית המשפט – האחד – שייסרק לתיק האלקטרוני במועד שנקצב והשני – יימסר עותק כרוך במעמד הדיון לידי בימ"ש. </w:t>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sz w:val="24"/>
          <w:szCs w:val="24"/>
          <w:rtl/>
        </w:rPr>
        <w:t xml:space="preserve">הצדדים יעבירו אחד למשנהו את התצהירים והמסמכים עם הגשתם לתיק בית המשפט. </w:t>
      </w:r>
    </w:p>
    <w:p w:rsidR="00DF1F5F" w:rsidRPr="00CA1297" w:rsidRDefault="00DF1F5F" w:rsidP="00CA1297">
      <w:pPr>
        <w:pStyle w:val="ad"/>
        <w:spacing w:after="0" w:line="360" w:lineRule="auto"/>
        <w:ind w:left="283"/>
        <w:jc w:val="both"/>
        <w:rPr>
          <w:rFonts w:ascii="David" w:hAnsi="David" w:cs="David"/>
          <w:sz w:val="24"/>
          <w:szCs w:val="24"/>
          <w:rtl/>
        </w:rPr>
      </w:pPr>
      <w:r w:rsidRPr="00CA1297">
        <w:rPr>
          <w:rFonts w:ascii="David" w:hAnsi="David" w:cs="David"/>
          <w:sz w:val="24"/>
          <w:szCs w:val="24"/>
          <w:rtl/>
        </w:rPr>
        <w:t xml:space="preserve">עדים, שתהיה מניעה מטעמם להגשת תצהיר, ניתן יהיה לזמנם כפוף להגשת בקשה מנומקת, 30 יום טרם ישיבת ההוכחות, וקבלת החלטה בעניין. </w:t>
      </w:r>
    </w:p>
    <w:p w:rsidR="00DF1F5F" w:rsidRPr="00CA1297" w:rsidRDefault="00DF1F5F" w:rsidP="00CA1297">
      <w:pPr>
        <w:pStyle w:val="ad"/>
        <w:spacing w:after="0" w:line="360" w:lineRule="auto"/>
        <w:ind w:left="283"/>
        <w:jc w:val="both"/>
        <w:rPr>
          <w:rFonts w:ascii="David" w:hAnsi="David" w:cs="David"/>
          <w:b/>
          <w:bCs/>
          <w:sz w:val="24"/>
          <w:szCs w:val="24"/>
          <w:u w:val="single"/>
          <w:rtl/>
        </w:rPr>
      </w:pPr>
      <w:r w:rsidRPr="00CA1297">
        <w:rPr>
          <w:rFonts w:ascii="David" w:hAnsi="David" w:cs="David"/>
          <w:sz w:val="24"/>
          <w:szCs w:val="24"/>
          <w:rtl/>
        </w:rPr>
        <w:t>למועד שנקבע להוכחות ידאגו הצדדים להתייצבות כל עד מטעמם.</w:t>
      </w:r>
    </w:p>
    <w:p w:rsidR="00DF1F5F" w:rsidRPr="00CA1297" w:rsidRDefault="00DF1F5F" w:rsidP="00CA1297">
      <w:pPr>
        <w:pStyle w:val="ad"/>
        <w:spacing w:after="0" w:line="360" w:lineRule="auto"/>
        <w:jc w:val="both"/>
        <w:rPr>
          <w:rFonts w:ascii="David" w:hAnsi="David" w:cs="David"/>
          <w:sz w:val="24"/>
          <w:szCs w:val="24"/>
          <w:rtl/>
        </w:rPr>
      </w:pPr>
    </w:p>
    <w:p w:rsidR="00DF1F5F" w:rsidRPr="00CA1297" w:rsidRDefault="00DF1F5F" w:rsidP="00CA1297">
      <w:pPr>
        <w:spacing w:line="360" w:lineRule="auto"/>
        <w:jc w:val="both"/>
        <w:rPr>
          <w:rFonts w:ascii="David" w:hAnsi="David"/>
          <w:b/>
          <w:bCs/>
          <w:u w:val="single"/>
          <w:rtl/>
        </w:rPr>
      </w:pPr>
      <w:r w:rsidRPr="00CA1297">
        <w:rPr>
          <w:rFonts w:ascii="David" w:hAnsi="David"/>
          <w:b/>
          <w:bCs/>
          <w:u w:val="single"/>
          <w:rtl/>
        </w:rPr>
        <w:t>המזכירות תמציא העתק החלטתי לב"כ הצדדים ולמומחה.</w:t>
      </w:r>
    </w:p>
    <w:p w:rsidR="00694556" w:rsidRPr="00CA1297" w:rsidRDefault="00694556" w:rsidP="00CA1297">
      <w:pPr>
        <w:spacing w:line="360" w:lineRule="auto"/>
        <w:jc w:val="both"/>
        <w:rPr>
          <w:rFonts w:ascii="David" w:hAnsi="David"/>
          <w:noProof w:val="0"/>
          <w:rtl/>
        </w:rPr>
      </w:pPr>
    </w:p>
    <w:p w:rsidR="00694556" w:rsidRPr="00CA1297" w:rsidRDefault="0043502B" w:rsidP="00681FEF">
      <w:pPr>
        <w:spacing w:line="360" w:lineRule="auto"/>
        <w:jc w:val="both"/>
        <w:rPr>
          <w:rFonts w:ascii="David" w:hAnsi="David"/>
          <w:noProof w:val="0"/>
          <w:rtl/>
        </w:rPr>
      </w:pPr>
      <w:r w:rsidRPr="00CA1297">
        <w:rPr>
          <w:rFonts w:ascii="David" w:hAnsi="David"/>
          <w:noProof w:val="0"/>
          <w:rtl/>
        </w:rPr>
        <w:t>ניתנה</w:t>
      </w:r>
      <w:r w:rsidR="00005C8B" w:rsidRPr="00CA1297">
        <w:rPr>
          <w:rFonts w:ascii="David" w:hAnsi="David"/>
          <w:noProof w:val="0"/>
          <w:rtl/>
        </w:rPr>
        <w:t xml:space="preserve"> היום,  </w:t>
      </w:r>
      <w:sdt>
        <w:sdtPr>
          <w:rPr>
            <w:rFonts w:ascii="David" w:hAnsi="David"/>
            <w:rtl/>
          </w:rPr>
          <w:alias w:val="1455"/>
          <w:tag w:val="1455"/>
          <w:id w:val="1845438649"/>
          <w:text w:multiLine="1"/>
        </w:sdtPr>
        <w:sdtEndPr/>
        <w:sdtContent>
          <w:r>
            <w:rPr>
              <w:rFonts w:ascii="David" w:hAnsi="David" w:hint="cs"/>
              <w:noProof w:val="0"/>
              <w:rtl/>
            </w:rPr>
            <w:t>ט' חשוון תשפ"ה</w:t>
          </w:r>
        </w:sdtContent>
      </w:sdt>
      <w:r w:rsidR="00005C8B" w:rsidRPr="00CA1297">
        <w:rPr>
          <w:rFonts w:ascii="David" w:hAnsi="David"/>
          <w:noProof w:val="0"/>
          <w:rtl/>
        </w:rPr>
        <w:t xml:space="preserve">, </w:t>
      </w:r>
      <w:sdt>
        <w:sdtPr>
          <w:rPr>
            <w:rFonts w:ascii="David" w:hAnsi="David"/>
            <w:rtl/>
          </w:rPr>
          <w:alias w:val="1456"/>
          <w:tag w:val="1456"/>
          <w:id w:val="-2061860040"/>
          <w:text w:multiLine="1"/>
        </w:sdtPr>
        <w:sdtEndPr/>
        <w:sdtContent>
          <w:r>
            <w:rPr>
              <w:rFonts w:ascii="David" w:hAnsi="David" w:hint="cs"/>
              <w:noProof w:val="0"/>
              <w:rtl/>
            </w:rPr>
            <w:t>10 נובמבר 2024</w:t>
          </w:r>
        </w:sdtContent>
      </w:sdt>
      <w:r w:rsidR="00005C8B" w:rsidRPr="00CA1297">
        <w:rPr>
          <w:rFonts w:ascii="David" w:hAnsi="David"/>
          <w:noProof w:val="0"/>
          <w:rtl/>
        </w:rPr>
        <w:t>, בהעדר הצדדים.</w:t>
      </w:r>
    </w:p>
    <w:p w:rsidR="00694556" w:rsidRDefault="00694556">
      <w:pPr>
        <w:spacing w:line="360" w:lineRule="auto"/>
        <w:jc w:val="both"/>
        <w:rPr>
          <w:rFonts w:ascii="Arial" w:hAnsi="Arial"/>
          <w:noProof w:val="0"/>
          <w:rtl/>
        </w:rPr>
      </w:pPr>
    </w:p>
    <w:p w:rsidR="00694556" w:rsidRPr="00D56E7B" w:rsidRDefault="00D56E7B" w:rsidP="00D56E7B">
      <w:pPr>
        <w:spacing w:line="360" w:lineRule="auto"/>
        <w:jc w:val="center"/>
        <w:rPr>
          <w:rFonts w:ascii="Arial" w:hAnsi="Arial"/>
          <w:noProof w:val="0"/>
          <w:rtl/>
        </w:rPr>
      </w:pPr>
      <w:r>
        <w:rPr>
          <w:rFonts w:ascii="Arial" w:hAnsi="Arial" w:hint="cs"/>
          <w:noProof w:val="0"/>
          <w:rtl/>
        </w:rPr>
        <w:lastRenderedPageBreak/>
        <w:t xml:space="preserve">                                                                 </w:t>
      </w:r>
      <w:r w:rsidR="00347EF1">
        <w:rPr>
          <w:rFonts w:ascii="Arial" w:hAnsi="Arial"/>
        </w:rPr>
        <w:drawing>
          <wp:inline distT="0" distB="0" distL="0" distR="0">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default" r:id="rId19"/>
      <w:footerReference w:type="defaul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9A8" w:rsidRDefault="004E59A8">
      <w:r>
        <w:separator/>
      </w:r>
    </w:p>
  </w:endnote>
  <w:endnote w:type="continuationSeparator" w:id="0">
    <w:p w:rsidR="004E59A8" w:rsidRDefault="004E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162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1621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9A8" w:rsidRDefault="004E59A8">
      <w:r>
        <w:separator/>
      </w:r>
    </w:p>
  </w:footnote>
  <w:footnote w:type="continuationSeparator" w:id="0">
    <w:p w:rsidR="004E59A8" w:rsidRDefault="004E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E59A8" w:rsidP="00911580">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תלה"מ</w:t>
              </w:r>
            </w:sdtContent>
          </w:sdt>
          <w:r w:rsidR="00005C8B">
            <w:rPr>
              <w:b/>
              <w:bCs/>
              <w:noProof w:val="0"/>
              <w:sz w:val="26"/>
              <w:szCs w:val="26"/>
              <w:rtl/>
            </w:rPr>
            <w:t xml:space="preserve"> </w:t>
          </w:r>
          <w:sdt>
            <w:sdtPr>
              <w:rPr>
                <w:rtl/>
              </w:rPr>
              <w:alias w:val="1171"/>
              <w:tag w:val="1171"/>
              <w:id w:val="1679002403"/>
              <w:text w:multiLine="1"/>
            </w:sdtPr>
            <w:sdtEndPr/>
            <w:sdtContent>
              <w:r w:rsidR="00227F7A">
                <w:rPr>
                  <w:b/>
                  <w:bCs/>
                  <w:noProof w:val="0"/>
                  <w:sz w:val="26"/>
                  <w:szCs w:val="26"/>
                  <w:rtl/>
                </w:rPr>
                <w:t>10220-04-22</w:t>
              </w:r>
            </w:sdtContent>
          </w:sdt>
          <w:r w:rsidR="00005C8B">
            <w:rPr>
              <w:b/>
              <w:bCs/>
              <w:noProof w:val="0"/>
              <w:sz w:val="26"/>
              <w:szCs w:val="26"/>
              <w:rtl/>
            </w:rPr>
            <w:t xml:space="preserve"> </w:t>
          </w:r>
          <w:sdt>
            <w:sdtPr>
              <w:rPr>
                <w:rtl/>
              </w:rPr>
              <w:alias w:val="1172"/>
              <w:tag w:val="1172"/>
              <w:id w:val="707610100"/>
              <w:text w:multiLine="1"/>
            </w:sdtPr>
            <w:sdtEndPr/>
            <w:sdtContent>
              <w:r w:rsidR="00911580">
                <w:rPr>
                  <w:rFonts w:hint="cs"/>
                  <w:b/>
                  <w:bCs/>
                  <w:noProof w:val="0"/>
                  <w:sz w:val="26"/>
                  <w:szCs w:val="26"/>
                </w:rPr>
                <w:t>XXX</w:t>
              </w:r>
              <w:r w:rsidR="00227F7A">
                <w:rPr>
                  <w:b/>
                  <w:bCs/>
                  <w:noProof w:val="0"/>
                  <w:sz w:val="26"/>
                  <w:szCs w:val="26"/>
                  <w:rtl/>
                </w:rPr>
                <w:t xml:space="preserve"> נ' </w:t>
              </w:r>
              <w:r w:rsidR="00911580">
                <w:rPr>
                  <w:rFonts w:hint="cs"/>
                  <w:b/>
                  <w:bCs/>
                  <w:noProof w:val="0"/>
                  <w:sz w:val="26"/>
                  <w:szCs w:val="26"/>
                </w:rPr>
                <w:t>XXX</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35746"/>
    <w:multiLevelType w:val="hybridMultilevel"/>
    <w:tmpl w:val="5DF4C4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849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84923&amp;lt;/CaseID&amp;gt;_x000d__x000a_        &amp;lt;CaseMonth&amp;gt;4&amp;lt;/CaseMonth&amp;gt;_x000d__x000a_        &amp;lt;CaseYear&amp;gt;2022&amp;lt;/CaseYear&amp;gt;_x000d__x000a_        &amp;lt;CaseNumber&amp;gt;10220&amp;lt;/CaseNumber&amp;gt;_x000d__x000a_        &amp;lt;NumeratorGroupID&amp;gt;1&amp;lt;/NumeratorGroupID&amp;gt;_x000d__x000a_        &amp;lt;CaseName&amp;gt;סיני נ&amp;#39; סיני&amp;lt;/CaseName&amp;gt;_x000d__x000a_        &amp;lt;CourtID&amp;gt;26&amp;lt;/CourtID&amp;gt;_x000d__x000a_        &amp;lt;CaseTypeID&amp;gt;10262&amp;lt;/CaseTypeID&amp;gt;_x000d__x000a_        &amp;lt;CaseInterestID&amp;gt;10513&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220-04-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2-04-05T16:3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תקבל עותק פיזי של חוות דעת מומחה מטעם BDO _x000d__x000a_הועבר למדור משפחה.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84923&amp;lt;/CaseID&amp;gt;_x000d__x000a_        &amp;lt;CaseMonth&amp;gt;4&amp;lt;/CaseMonth&amp;gt;_x000d__x000a_        &amp;lt;CaseYear&amp;gt;2022&amp;lt;/CaseYear&amp;gt;_x000d__x000a_        &amp;lt;CaseNumber&amp;gt;10220&amp;lt;/CaseNumber&amp;gt;_x000d__x000a_        &amp;lt;NumeratorGroupID&amp;gt;1&amp;lt;/NumeratorGroupID&amp;gt;_x000d__x000a_        &amp;lt;CaseName&amp;gt;סיני נ&amp;#39; סיני&amp;lt;/CaseName&amp;gt;_x000d__x000a_        &amp;lt;CourtID&amp;gt;26&amp;lt;/CourtID&amp;gt;_x000d__x000a_        &amp;lt;CaseTypeID&amp;gt;10262&amp;lt;/CaseTypeID&amp;gt;_x000d__x000a_        &amp;lt;CaseInterestID&amp;gt;10513&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220-04-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2&amp;lt;/CaseNextDeterminingTask&amp;gt;_x000d__x000a_        &amp;lt;CaseOpenDate&amp;gt;2022-04-05T16:3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תקבל עותק פיזי של חוות דעת מומחה מטעם BDO _x000d__x000a_הועבר למדור משפחה.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19625&amp;lt;/DecisionID&amp;gt;_x000d__x000a_        &amp;lt;DecisionName&amp;gt;החלטה  שניתנה ע&amp;quot;י  שושנה ברגר&amp;lt;/DecisionName&amp;gt;_x000d__x000a_        &amp;lt;DecisionStatusID&amp;gt;1&amp;lt;/DecisionStatusID&amp;gt;_x000d__x000a_        &amp;lt;DecisionStatusChangeDate&amp;gt;2024-11-10T10:35:20.35+02:00&amp;lt;/DecisionStatusChangeDate&amp;gt;_x000d__x000a_        &amp;lt;DecisionSignatureDate&amp;gt;2024-11-04T16:45:44.5+02:00&amp;lt;/DecisionSignatureDate&amp;gt;_x000d__x000a_        &amp;lt;DecisionSignatureUserID&amp;gt;057920175@GOV.IL&amp;lt;/DecisionSignatureUserID&amp;gt;_x000d__x000a_        &amp;lt;DecisionCreateDate&amp;gt;2024-11-04T16:43:57.033+02:00&amp;lt;/DecisionCreateDate&amp;gt;_x000d__x000a_        &amp;lt;DecisionChangeDate&amp;gt;2024-11-10T10:35:21.02+02:00&amp;lt;/DecisionChangeDate&amp;gt;_x000d__x000a_        &amp;lt;DecisionChangeUserID&amp;gt;0579201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4916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819625&amp;lt;/DecisionID&amp;gt;_x000d__x000a_        &amp;lt;CaseID&amp;gt;79184923&amp;lt;/CaseID&amp;gt;_x000d__x000a_        &amp;lt;IsOriginal&amp;gt;true&amp;lt;/IsOriginal&amp;gt;_x000d__x000a_        &amp;lt;IsDeleted&amp;gt;false&amp;lt;/IsDeleted&amp;gt;_x000d__x000a_        &amp;lt;CaseName&amp;gt;סיני נ&amp;#39; סיני&amp;lt;/CaseName&amp;gt;_x000d__x000a_        &amp;lt;CaseDisplayIdentifier&amp;gt;10220-04-22 תלה&amp;quot;מ&amp;lt;/CaseDisplayIdentifier&amp;gt;_x000d__x000a_      &amp;lt;/dt_DecisionCase&amp;gt;_x000d__x000a_    &amp;lt;/DecisionDS&amp;gt;_x000d__x000a_  &amp;lt;/diffgr:diffgram&amp;gt;_x000d__x000a_&amp;lt;/DecisionDS&amp;gt;"/>
    <w:docVar w:name="DecisionID" w:val="155819625"/>
    <w:docVar w:name="WordClientAssemblyName" w:val="NGCS.Decision.ClientWordBL"/>
    <w:docVar w:name="WordClientClassName" w:val="NGCS.Decision.ClientWordBL.DecisionClient"/>
  </w:docVars>
  <w:rsids>
    <w:rsidRoot w:val="00694556"/>
    <w:rsid w:val="00005C8B"/>
    <w:rsid w:val="000564AB"/>
    <w:rsid w:val="00064FBD"/>
    <w:rsid w:val="00095889"/>
    <w:rsid w:val="00096AF7"/>
    <w:rsid w:val="000C3B0F"/>
    <w:rsid w:val="000F0BC8"/>
    <w:rsid w:val="00105FFA"/>
    <w:rsid w:val="00107E6D"/>
    <w:rsid w:val="0011194C"/>
    <w:rsid w:val="00144D2A"/>
    <w:rsid w:val="00163791"/>
    <w:rsid w:val="00180519"/>
    <w:rsid w:val="00192D8D"/>
    <w:rsid w:val="001C4003"/>
    <w:rsid w:val="002265FF"/>
    <w:rsid w:val="00227F7A"/>
    <w:rsid w:val="002E0BE1"/>
    <w:rsid w:val="00307A6A"/>
    <w:rsid w:val="00307C40"/>
    <w:rsid w:val="00320433"/>
    <w:rsid w:val="00347EF1"/>
    <w:rsid w:val="0036743F"/>
    <w:rsid w:val="003A1C04"/>
    <w:rsid w:val="003D3729"/>
    <w:rsid w:val="00417775"/>
    <w:rsid w:val="0043125D"/>
    <w:rsid w:val="0043502B"/>
    <w:rsid w:val="004C4BDF"/>
    <w:rsid w:val="004D1187"/>
    <w:rsid w:val="004E59A8"/>
    <w:rsid w:val="004E6E3C"/>
    <w:rsid w:val="005268F6"/>
    <w:rsid w:val="00547DB7"/>
    <w:rsid w:val="005C06FD"/>
    <w:rsid w:val="00622BAA"/>
    <w:rsid w:val="00630DC7"/>
    <w:rsid w:val="006708E5"/>
    <w:rsid w:val="00671BD5"/>
    <w:rsid w:val="006805C1"/>
    <w:rsid w:val="00681FEF"/>
    <w:rsid w:val="006916AC"/>
    <w:rsid w:val="00694556"/>
    <w:rsid w:val="006E1A53"/>
    <w:rsid w:val="00704EDA"/>
    <w:rsid w:val="007B3B55"/>
    <w:rsid w:val="007E6115"/>
    <w:rsid w:val="007F4609"/>
    <w:rsid w:val="008060B4"/>
    <w:rsid w:val="00820005"/>
    <w:rsid w:val="00896889"/>
    <w:rsid w:val="008C5714"/>
    <w:rsid w:val="00903896"/>
    <w:rsid w:val="00906F3D"/>
    <w:rsid w:val="00911580"/>
    <w:rsid w:val="00912A1E"/>
    <w:rsid w:val="009E53CF"/>
    <w:rsid w:val="00A16217"/>
    <w:rsid w:val="00A338E7"/>
    <w:rsid w:val="00A80265"/>
    <w:rsid w:val="00A94B64"/>
    <w:rsid w:val="00AC3B7B"/>
    <w:rsid w:val="00AC5209"/>
    <w:rsid w:val="00AF68D0"/>
    <w:rsid w:val="00B80CBD"/>
    <w:rsid w:val="00B86096"/>
    <w:rsid w:val="00BF1908"/>
    <w:rsid w:val="00C22D93"/>
    <w:rsid w:val="00C34482"/>
    <w:rsid w:val="00C42572"/>
    <w:rsid w:val="00C8516B"/>
    <w:rsid w:val="00CA1297"/>
    <w:rsid w:val="00D33B86"/>
    <w:rsid w:val="00D53924"/>
    <w:rsid w:val="00D55D0C"/>
    <w:rsid w:val="00D56E7B"/>
    <w:rsid w:val="00D96D8C"/>
    <w:rsid w:val="00DA6649"/>
    <w:rsid w:val="00DF1F5F"/>
    <w:rsid w:val="00E13E7D"/>
    <w:rsid w:val="00E54642"/>
    <w:rsid w:val="00EA7C3A"/>
    <w:rsid w:val="00EC37E9"/>
    <w:rsid w:val="00F84B6D"/>
    <w:rsid w:val="00FD79E4"/>
    <w:rsid w:val="00FE2894"/>
    <w:rsid w:val="00FE7F0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paragraph" w:styleId="ad">
    <w:name w:val="List Paragraph"/>
    <w:basedOn w:val="a"/>
    <w:uiPriority w:val="34"/>
    <w:qFormat/>
    <w:rsid w:val="00DF1F5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DF1F5F"/>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DF1F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20170073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828992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nevo.co.il/case/26845115" TargetMode="External"/><Relationship Id="rId2" Type="http://schemas.openxmlformats.org/officeDocument/2006/relationships/customXml" Target="../customXml/item1.xml"/><Relationship Id="rId16" Type="http://schemas.openxmlformats.org/officeDocument/2006/relationships/hyperlink" Target="http://www.nevo.co.il/case/2894554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nevo.co.il/case/27612106" TargetMode="Externa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יגאל טולדנו</FullName>
        <FirstName>יגאל</FirstName>
        <LastName>טולדנו</LastName>
        <PartyPropertyName/>
        <AuthenticationTypeAndNumber>ת"ז 027997790</AuthenticationTypeAndNumber>
        <RepresentatedOrRepresentativesNames/>
        <RepresentatedOrRepresentativesCount>0</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251545162</CasePartyID>
        <PartyTypeID>5</PartyTypeID>
        <ActivityStatusID>1</ActivityStatusID>
        <PartyAliasID>102</PartyAliasID>
        <PartyAliasName>מומחה בית משפט</PartyAliasName>
        <LegalEntityID>72869549</LegalEntityID>
        <CaseLegalEntityID>123069202</CaseLegalEntityID>
        <AuthenticationTypeID>1</AuthenticationTypeID>
        <AuthenticationTypeName>ת"ז</AuthenticationTypeName>
        <LegalEntityNumber>027997790</LegalEntityNumber>
        <IsMainPartyType>true</IsMainPartyType>
        <CaseDisplayIdentifier>10220-04-22</CaseDisplayIdentifier>
        <CaseTypeID>10262</CaseTypeID>
        <CaseTypeName>תביעה לאחר הסדר התדיינויות במשפחה (תלה"מ)</CaseTypeName>
        <CaseName>סיני נ' סיני</CaseName>
        <FullAddress>דרך מנחם בגין 48 תל אביב -יפו בית אמות ביטוח BDO בניין ב'</FullAddress>
        <EmailAddress>yigalt@bdo.co.il</EmailAddress>
        <MotionID>0</MotionID>
        <CasePleaID>0</CasePleaID>
        <FatherName xml:space="preserve">        </FatherName>
        <LinkedCaseID>0</LinkedCaseID>
        <CasePartyCategoryID>1</CasePartyCategoryID>
        <LegalEntityAddressID>83304309</LegalEntityAddressID>
        <LegalEntityEmailAddressID>67967302</LegalEntityEmailAddressID>
        <PleaTypeID>4</PleaTypeID>
        <GroupPartyAlias/>
        <IsConverted>false</IsConverted>
        <LegalEntityNameID>77146324</LegalEntityNameID>
        <RepresentatedNamesOfAssistant/>
        <LegalEntityTypeID>6</LegalEntityTypeID>
        <IsVerdictExists>false</IsVerdictExists>
        <IsAsirAzir>false</IsAsirAzir>
        <MainAndSecSpec/>
        <IsPublicationProhibited>false</IsPublicationProhibited>
        <PublicationProhibitedFullName>יגאל טולדנו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יאיר אבני</FullName>
        <FirstName>יאיר</FirstName>
        <LastName>אבני</LastName>
        <PartyPropertyName/>
        <AuthenticationTypeAndNumber>מ.ר. 13113</AuthenticationTypeAndNumber>
        <RepresentatedOrRepresentativesNames>רן סיני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240867907</CasePartyID>
        <PartyTypeID>2</PartyTypeID>
        <ActivityStatusID>1</ActivityStatusID>
        <PartyAliasID>21</PartyAliasID>
        <PartyAliasName>בא כוח נתבעים</PartyAliasName>
        <LegalEntityID>382065</LegalEntityID>
        <CaseLegalEntityID>119722144</CaseLegalEntityID>
        <AuthenticationTypeID>4</AuthenticationTypeID>
        <AuthenticationTypeName>מ.ר.</AuthenticationTypeName>
        <LegalEntityNumber>13113</LegalEntityNumber>
        <IsMainPartyType>true</IsMainPartyType>
        <CaseDisplayIdentifier>10220-04-22</CaseDisplayIdentifier>
        <CaseTypeID>10262</CaseTypeID>
        <CaseTypeName>תביעה לאחר הסדר התדיינויות במשפחה (תלה"מ)</CaseTypeName>
        <CaseName>סיני נ' סיני</CaseName>
        <FullAddress>שד' פלי"ם 2 חיפה </FullAddress>
        <EmailAddress>office@avni-law.co.il</EmailAddress>
        <MotionID>0</MotionID>
        <CasePleaID>0</CasePleaID>
        <LinkedCaseID>0</LinkedCaseID>
        <PartyID>2</PartyID>
        <CasePartyCategoryID>2</CasePartyCategoryID>
        <LegalEntityAddressID>88265337</LegalEntityAddressID>
        <LegalEntityEmailAddressID>68284584</LegalEntityEmailAddressID>
        <PleaTypeID>4</PleaTypeID>
        <LawyerOfficeName>אבני הרצוג שועלי אבידן את גורביץ ושות'</LawyerOfficeName>
        <LawyerOfficeID>419344</LawyerOfficeID>
        <GroupPartyAlias/>
        <IsConverted>false</IsConverted>
        <LegalEntityNameID>3049</LegalEntityNameID>
        <RepresentatedNamesOfAssistant/>
        <LegalEntityTypeID>4</LegalEntityTypeID>
        <IsVerdictExists>false</IsVerdictExists>
        <IsAsirAzir>false</IsAsirAzir>
        <MainAndSecSpec/>
        <IsPublicationProhibited>false</IsPublicationProhibited>
        <PublicationProhibitedFullName>יאיר אבני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סיני</FullName>
        <FirstName>הדס</FirstName>
        <LastName>הרט</LastName>
        <PartyPropertyName/>
        <AuthenticationTypeAndNumber>ת"ז 037608148</AuthenticationTypeAndNumber>
        <RepresentatedOrRepresentativesNames>דין עדני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239608093</CasePartyID>
        <PartyTypeID>1</PartyTypeID>
        <ActivityStatusID>1</ActivityStatusID>
        <PartyAliasID>1</PartyAliasID>
        <PartyAliasName>תובע</PartyAliasName>
        <OrdinalNumber>1</OrdinalNumber>
        <LegalEntityID>70533319</LegalEntityID>
        <CaseLegalEntityID>119335347</CaseLegalEntityID>
        <AuthenticationTypeID>1</AuthenticationTypeID>
        <AuthenticationTypeName>ת"ז</AuthenticationTypeName>
        <LegalEntityNumber>037608148</LegalEntityNumber>
        <IsMainPartyType>true</IsMainPartyType>
        <CaseDisplayIdentifier>10220-04-22</CaseDisplayIdentifier>
        <CaseTypeID>10262</CaseTypeID>
        <CaseTypeName>תביעה לאחר הסדר התדיינויות במשפחה (תלה"מ)</CaseTypeName>
        <CaseName>סיני נ' סיני</CaseName>
        <FullAddress>דרך הצאלון 50 גבע כרמל </FullAddress>
        <MotionID>0</MotionID>
        <CasePleaID>0</CasePleaID>
        <FatherName>שמחה</FatherName>
        <LinkedCaseID>0</LinkedCaseID>
        <PartyID>1</PartyID>
        <CasePartyCategoryID>2</CasePartyCategoryID>
        <LegalEntityAddressID>86380876</LegalEntityAddressID>
        <PleaTypeID>4</PleaTypeID>
        <GroupPartyAlias>תובעים</GroupPartyAlias>
        <IsConverted>false</IsConverted>
        <LegalEntityRegisteredNameID>9442971</LegalEntityRegisteredNameID>
        <LegalEntityNameID>92943543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סיני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דין עדני</FullName>
        <FirstName>דין</FirstName>
        <LastName>עדני</LastName>
        <PartyPropertyName/>
        <AuthenticationTypeAndNumber>מ.ר. 36025</AuthenticationTypeAndNumber>
        <RepresentatedOrRepresentativesNames>הדס סיני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239608094</CasePartyID>
        <PartyTypeID>2</PartyTypeID>
        <ActivityStatusID>1</ActivityStatusID>
        <PartyAliasID>20</PartyAliasID>
        <PartyAliasName>בא כוח תובעים</PartyAliasName>
        <OrdinalNumber>1</OrdinalNumber>
        <LegalEntityID>407595</LegalEntityID>
        <CaseLegalEntityID>119335348</CaseLegalEntityID>
        <AuthenticationTypeID>4</AuthenticationTypeID>
        <AuthenticationTypeName>מ.ר.</AuthenticationTypeName>
        <LegalEntityNumber>36025</LegalEntityNumber>
        <IsMainPartyType>true</IsMainPartyType>
        <CaseDisplayIdentifier>10220-04-22</CaseDisplayIdentifier>
        <CaseTypeID>10262</CaseTypeID>
        <CaseTypeName>תביעה לאחר הסדר התדיינויות במשפחה (תלה"מ)</CaseTypeName>
        <CaseName>סיני נ' סיני</CaseName>
        <FullAddress>מנחם בגין 37 תל אביב -יפו קומה 2</FullAddress>
        <EmailAddress>dindalit@gmail.com</EmailAddress>
        <MotionID>0</MotionID>
        <CasePleaID>0</CasePleaID>
        <FatherName xml:space="preserve">        </FatherName>
        <LinkedCaseID>0</LinkedCaseID>
        <PartyID>1</PartyID>
        <CasePartyCategoryID>2</CasePartyCategoryID>
        <LegalEntityAddressID>77861424</LegalEntityAddressID>
        <LegalEntityEmailAddressID>67830079</LegalEntityEmailAddressID>
        <PleaTypeID>4</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MainAndSecSpec/>
        <IsPublicationProhibited>false</IsPublicationProhibited>
        <PublicationProhibitedFullName>דין עדני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רן סיני</FullName>
        <FirstName>רן</FirstName>
        <LastName>סיני</LastName>
        <PartyPropertyName/>
        <AuthenticationTypeAndNumber>ת"ז 031804776</AuthenticationTypeAndNumber>
        <RepresentatedOrRepresentativesNames>יאיר אבני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239608095</CasePartyID>
        <PartyTypeID>1</PartyTypeID>
        <ActivityStatusID>1</ActivityStatusID>
        <PartyAliasID>2</PartyAliasID>
        <PartyAliasName>נתבע</PartyAliasName>
        <OrdinalNumber>1</OrdinalNumber>
        <LegalEntityID>12673887</LegalEntityID>
        <CaseLegalEntityID>119335349</CaseLegalEntityID>
        <AuthenticationTypeID>1</AuthenticationTypeID>
        <AuthenticationTypeName>ת"ז</AuthenticationTypeName>
        <LegalEntityNumber>031804776</LegalEntityNumber>
        <IsMainPartyType>true</IsMainPartyType>
        <CaseDisplayIdentifier>10220-04-22</CaseDisplayIdentifier>
        <CaseTypeID>10262</CaseTypeID>
        <CaseTypeName>תביעה לאחר הסדר התדיינויות במשפחה (תלה"מ)</CaseTypeName>
        <CaseName>סיני נ' סיני</CaseName>
        <FullAddress>האורן 73 גבע כרמל </FullAddress>
        <MotionID>0</MotionID>
        <CasePleaID>0</CasePleaID>
        <FatherName>יעקב</FatherName>
        <LinkedCaseID>0</LinkedCaseID>
        <PartyID>2</PartyID>
        <CasePartyCategoryID>2</CasePartyCategoryID>
        <LegalEntityAddressID>86380877</LegalEntityAddressID>
        <GrandfatherName/>
        <DrivingLicenseNumber>6267211</DrivingLicenseNumber>
        <PleaTypeID>4</PleaTypeID>
        <GroupPartyAlias>נתבעים</GroupPartyAlias>
        <IsConverted>false</IsConverted>
        <LegalEntityRegisteredNameID>462040</LegalEntityRegisteredNameID>
        <LegalEntityNameID>92943544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סיני</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2024-11-04T16:39:45.3105821+02:00</DecisionSignatureDate>
    <OpenCaseDate>2022-04-05T16:36:00+03:00</OpenCaseDate>
    <CaseFeeSum>0.000</CaseFeeSum>
    <DecisionTypeID>1</DecisionTypeID>
    <DecisionSignatureUserName>שושנה ברגר</DecisionSignatureUserName>
    <DecisionSignatureDateHebrew>2024-11-04T16:39:45.3105821+02:00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סיני נ' סיני</CaseName>
    <DecisionNumberInCase>17</DecisionNumberInCase>
  </dt_Decision>
  <dt_DecisionCase>
    <DecisionID>0</DecisionID>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יגאל טולדנו</FullName>
        <FirstName>יגאל</FirstName>
        <LastName>טולדנו</LastName>
        <PartyPropertyName/>
        <AuthenticationTypeAndNumber>ת"ז 027997790</AuthenticationTypeAndNumber>
        <RepresentatedOrRepresentativesNames/>
        <RepresentatedOrRepresentativesCount>0</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251545162</CasePartyID>
        <PartyTypeID>5</PartyTypeID>
        <ActivityStatusID>1</ActivityStatusID>
        <PartyAliasID>102</PartyAliasID>
        <PartyAliasName>מומחה בית משפט</PartyAliasName>
        <LegalEntityID>72869549</LegalEntityID>
        <CaseLegalEntityID>123069202</CaseLegalEntityID>
        <AuthenticationTypeID>1</AuthenticationTypeID>
        <AuthenticationTypeName>ת"ז</AuthenticationTypeName>
        <LegalEntityNumber>027997790</LegalEntityNumber>
        <IsMainPartyType>true</IsMainPartyType>
        <CaseDisplayIdentifier>10220-04-22</CaseDisplayIdentifier>
        <CaseTypeID>10262</CaseTypeID>
        <CaseTypeName>תביעה לאחר הסדר התדיינויות במשפחה (תלה"מ)</CaseTypeName>
        <CaseName>סיני נ' סיני</CaseName>
        <FullAddress>דרך מנחם בגין 48 תל אביב -יפו בית אמות ביטוח BDO בניין ב'</FullAddress>
        <EmailAddress>yigalt@bdo.co.il</EmailAddress>
        <MotionID>0</MotionID>
        <CasePleaID>0</CasePleaID>
        <FatherName xml:space="preserve">        </FatherName>
        <LinkedCaseID>0</LinkedCaseID>
        <CasePartyCategoryID>1</CasePartyCategoryID>
        <LegalEntityAddressID>83304309</LegalEntityAddressID>
        <LegalEntityEmailAddressID>67967302</LegalEntityEmailAddressID>
        <PleaTypeID>4</PleaTypeID>
        <GroupPartyAlias/>
        <IsConverted>false</IsConverted>
        <LegalEntityNameID>77146324</LegalEntityNameID>
        <RepresentatedNamesOfAssistant/>
        <LegalEntityTypeID>6</LegalEntityTypeID>
        <IsVerdictExists>false</IsVerdictExists>
        <IsAsirAzir>false</IsAsirAzir>
        <MainAndSecSpec/>
        <IsPublicationProhibited>false</IsPublicationProhibited>
        <PublicationProhibitedFullName>יגאל טולדנו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יאיר אבני</FullName>
        <FirstName>יאיר</FirstName>
        <LastName>אבני</LastName>
        <PartyPropertyName/>
        <AuthenticationTypeAndNumber>מ.ר. 13113</AuthenticationTypeAndNumber>
        <RepresentatedOrRepresentativesNames>רן סיני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240867907</CasePartyID>
        <PartyTypeID>2</PartyTypeID>
        <ActivityStatusID>1</ActivityStatusID>
        <PartyAliasID>21</PartyAliasID>
        <PartyAliasName>בא כוח נתבעים</PartyAliasName>
        <LegalEntityID>382065</LegalEntityID>
        <CaseLegalEntityID>119722144</CaseLegalEntityID>
        <AuthenticationTypeID>4</AuthenticationTypeID>
        <AuthenticationTypeName>מ.ר.</AuthenticationTypeName>
        <LegalEntityNumber>13113</LegalEntityNumber>
        <IsMainPartyType>true</IsMainPartyType>
        <CaseDisplayIdentifier>10220-04-22</CaseDisplayIdentifier>
        <CaseTypeID>10262</CaseTypeID>
        <CaseTypeName>תביעה לאחר הסדר התדיינויות במשפחה (תלה"מ)</CaseTypeName>
        <CaseName>סיני נ' סיני</CaseName>
        <FullAddress>שד' פלי"ם 2 חיפה </FullAddress>
        <EmailAddress>office@avni-law.co.il</EmailAddress>
        <MotionID>0</MotionID>
        <CasePleaID>0</CasePleaID>
        <LinkedCaseID>0</LinkedCaseID>
        <PartyID>2</PartyID>
        <CasePartyCategoryID>2</CasePartyCategoryID>
        <LegalEntityAddressID>88265337</LegalEntityAddressID>
        <LegalEntityEmailAddressID>68284584</LegalEntityEmailAddressID>
        <PleaTypeID>4</PleaTypeID>
        <LawyerOfficeName>אבני הרצוג שועלי אבידן את גורביץ ושות'</LawyerOfficeName>
        <LawyerOfficeID>419344</LawyerOfficeID>
        <GroupPartyAlias/>
        <IsConverted>false</IsConverted>
        <LegalEntityNameID>3049</LegalEntityNameID>
        <RepresentatedNamesOfAssistant/>
        <LegalEntityTypeID>4</LegalEntityTypeID>
        <IsVerdictExists>false</IsVerdictExists>
        <IsAsirAzir>false</IsAsirAzir>
        <MainAndSecSpec/>
        <IsPublicationProhibited>false</IsPublicationProhibited>
        <PublicationProhibitedFullName>יאיר אבני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סיני</FullName>
        <FirstName>הדס</FirstName>
        <LastName>הרט</LastName>
        <PartyPropertyName/>
        <AuthenticationTypeAndNumber>ת"ז 037608148</AuthenticationTypeAndNumber>
        <RepresentatedOrRepresentativesNames>דין עדני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239608093</CasePartyID>
        <PartyTypeID>1</PartyTypeID>
        <ActivityStatusID>1</ActivityStatusID>
        <PartyAliasID>1</PartyAliasID>
        <PartyAliasName>תובע</PartyAliasName>
        <OrdinalNumber>1</OrdinalNumber>
        <LegalEntityID>70533319</LegalEntityID>
        <CaseLegalEntityID>119335347</CaseLegalEntityID>
        <AuthenticationTypeID>1</AuthenticationTypeID>
        <AuthenticationTypeName>ת"ז</AuthenticationTypeName>
        <LegalEntityNumber>037608148</LegalEntityNumber>
        <IsMainPartyType>true</IsMainPartyType>
        <CaseDisplayIdentifier>10220-04-22</CaseDisplayIdentifier>
        <CaseTypeID>10262</CaseTypeID>
        <CaseTypeName>תביעה לאחר הסדר התדיינויות במשפחה (תלה"מ)</CaseTypeName>
        <CaseName>סיני נ' סיני</CaseName>
        <FullAddress>דרך הצאלון 50 גבע כרמל </FullAddress>
        <MotionID>0</MotionID>
        <CasePleaID>0</CasePleaID>
        <FatherName>שמחה</FatherName>
        <LinkedCaseID>0</LinkedCaseID>
        <PartyID>1</PartyID>
        <CasePartyCategoryID>2</CasePartyCategoryID>
        <LegalEntityAddressID>86380876</LegalEntityAddressID>
        <PleaTypeID>4</PleaTypeID>
        <GroupPartyAlias>תובעים</GroupPartyAlias>
        <IsConverted>false</IsConverted>
        <LegalEntityRegisteredNameID>9442971</LegalEntityRegisteredNameID>
        <LegalEntityNameID>92943543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סיני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דין עדני</FullName>
        <FirstName>דין</FirstName>
        <LastName>עדני</LastName>
        <PartyPropertyName/>
        <AuthenticationTypeAndNumber>מ.ר. 36025</AuthenticationTypeAndNumber>
        <RepresentatedOrRepresentativesNames>הדס סיני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239608094</CasePartyID>
        <PartyTypeID>2</PartyTypeID>
        <ActivityStatusID>1</ActivityStatusID>
        <PartyAliasID>20</PartyAliasID>
        <PartyAliasName>בא כוח תובעים</PartyAliasName>
        <OrdinalNumber>1</OrdinalNumber>
        <LegalEntityID>407595</LegalEntityID>
        <CaseLegalEntityID>119335348</CaseLegalEntityID>
        <AuthenticationTypeID>4</AuthenticationTypeID>
        <AuthenticationTypeName>מ.ר.</AuthenticationTypeName>
        <LegalEntityNumber>36025</LegalEntityNumber>
        <IsMainPartyType>true</IsMainPartyType>
        <CaseDisplayIdentifier>10220-04-22</CaseDisplayIdentifier>
        <CaseTypeID>10262</CaseTypeID>
        <CaseTypeName>תביעה לאחר הסדר התדיינויות במשפחה (תלה"מ)</CaseTypeName>
        <CaseName>סיני נ' סיני</CaseName>
        <FullAddress>מנחם בגין 37 תל אביב -יפו קומה 2</FullAddress>
        <EmailAddress>dindalit@gmail.com</EmailAddress>
        <MotionID>0</MotionID>
        <CasePleaID>0</CasePleaID>
        <FatherName xml:space="preserve">        </FatherName>
        <LinkedCaseID>0</LinkedCaseID>
        <PartyID>1</PartyID>
        <CasePartyCategoryID>2</CasePartyCategoryID>
        <LegalEntityAddressID>77861424</LegalEntityAddressID>
        <LegalEntityEmailAddressID>67830079</LegalEntityEmailAddressID>
        <PleaTypeID>4</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MainAndSecSpec/>
        <IsPublicationProhibited>false</IsPublicationProhibited>
        <PublicationProhibitedFullName>דין עדני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רן סיני</FullName>
        <FirstName>רן</FirstName>
        <LastName>סיני</LastName>
        <PartyPropertyName/>
        <AuthenticationTypeAndNumber>ת"ז 031804776</AuthenticationTypeAndNumber>
        <RepresentatedOrRepresentativesNames>יאיר אבני</RepresentatedOrRepresentativesNames>
        <RepresentatedOrRepresentativesCount>1</RepresentatedOrRepresentativesCount>
        <InvitedBy/>
        <CaseID>79184923</CaseID>
        <CaseJudicialPersonPresentationDS>
          <CaseJudicalPersonActive>
            <CaseID>79184923</CaseID>
            <JudicialPersonID>057920175@GOV.IL</JudicialPersonID>
            <JudicialPersonTypeID>1</JudicialPersonTypeID>
            <JudicialTypeID>1</JudicialTypeID>
            <IsChairman>false</IsChairman>
            <TreatmentStartDate>2022-04-06T09:18:03.41+03:00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239608095</CasePartyID>
        <PartyTypeID>1</PartyTypeID>
        <ActivityStatusID>1</ActivityStatusID>
        <PartyAliasID>2</PartyAliasID>
        <PartyAliasName>נתבע</PartyAliasName>
        <OrdinalNumber>1</OrdinalNumber>
        <LegalEntityID>12673887</LegalEntityID>
        <CaseLegalEntityID>119335349</CaseLegalEntityID>
        <AuthenticationTypeID>1</AuthenticationTypeID>
        <AuthenticationTypeName>ת"ז</AuthenticationTypeName>
        <LegalEntityNumber>031804776</LegalEntityNumber>
        <IsMainPartyType>true</IsMainPartyType>
        <CaseDisplayIdentifier>10220-04-22</CaseDisplayIdentifier>
        <CaseTypeID>10262</CaseTypeID>
        <CaseTypeName>תביעה לאחר הסדר התדיינויות במשפחה (תלה"מ)</CaseTypeName>
        <CaseName>סיני נ' סיני</CaseName>
        <FullAddress>האורן 73 גבע כרמל </FullAddress>
        <MotionID>0</MotionID>
        <CasePleaID>0</CasePleaID>
        <FatherName>יעקב</FatherName>
        <LinkedCaseID>0</LinkedCaseID>
        <PartyID>2</PartyID>
        <CasePartyCategoryID>2</CasePartyCategoryID>
        <LegalEntityAddressID>86380877</LegalEntityAddressID>
        <GrandfatherName/>
        <DrivingLicenseNumber>6267211</DrivingLicenseNumber>
        <PleaTypeID>4</PleaTypeID>
        <GroupPartyAlias>נתבעים</GroupPartyAlias>
        <IsConverted>false</IsConverted>
        <LegalEntityRegisteredNameID>462040</LegalEntityRegisteredNameID>
        <LegalEntityNameID>92943544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סיני</PublicationProhibitedFullName>
      </CaseParties>
    </CasePartiesSelectionDS>
    <CaseName>סיני נ' סיני</CaseName>
    <CaseDisplayIdentifier>10220-04-22</CaseDisplayIdentifier>
    <CaseInterestID>10513</CaseInterestID>
    <CaseTypeShortName>תלה"מ</CaseTypeShortName>
  </dt_DecisionCase>
  <dt_DecisionJudgePanel>
    <JudgeID>057920175@GOV.IL</JudgeID>
    <DisplayName>שושנה ברגר</DisplayName>
    <RoleName>שופט</RoleName>
    <UserTitleName>שופטת בכירה</UserTitleName>
  </dt_DecisionJudgePanel>
  <dt_LegalEntityDetails>
    <Fax>04-8682030</Fax>
    <Phone>04-8682020</Phone>
    <PartyID>2</PartyID>
    <PartyTypeID>2</PartyTypeID>
    <DecisionID>0</DecisionID>
    <StreetName>שד' פלי"ם 2</StreetName>
    <ZipCode>3309502</ZipCode>
    <CityName>חיפה</CityName>
    <FullName>יאיר אבני</FullName>
    <Email>office@avni-law.co.il</Email>
    <IsPublicationProhibited>false</IsPublicationProhibited>
  </dt_LegalEntityDetails>
  <dt_LegalEntityDetails>
    <Fax>03-6382539</Fax>
    <Phone>03-6386894</Phone>
    <AddressDesc>בית אמות ביטוח BDO בניין ב'</AddressDesc>
    <PartyTypeID>5</PartyTypeID>
    <DecisionID>0</DecisionID>
    <StreetName>דרך מנחם בגין 48</StreetName>
    <ZipCode>6618001</ZipCode>
    <CityName>תל אביב -יפו</CityName>
    <FullName>יגאל טולדנו</FullName>
    <Email>yigalt@bdo.co.il</Email>
    <IsPublicationProhibited>false</IsPublicationProhibited>
  </dt_LegalEntityDetails>
  <dt_LegalEntityDetails>
    <PartyID>1</PartyID>
    <PartyTypeID>1</PartyTypeID>
    <DecisionID>0</DecisionID>
    <StreetName>דרך הצאלון 50</StreetName>
    <CityName>גבע כרמל</CityName>
    <FullName>הדס סיני</FullName>
    <IsPublicationProhibited>false</IsPublicationProhibited>
  </dt_LegalEntityDetails>
  <dt_LegalEntityDetails>
    <Fax>03-5665776</Fax>
    <Phone>03-5665775</Phone>
    <AddressDesc>קומה 2</AddressDesc>
    <PartyID>1</PartyID>
    <PartyTypeID>2</PartyTypeID>
    <DecisionID>0</DecisionID>
    <StreetName>מנחם בגין 37</StreetName>
    <ZipCode>6522042</ZipCode>
    <CityName>תל אביב -יפו</CityName>
    <FullName>דין עדני</FullName>
    <Email>dindalit@gmail.com</Email>
    <IsPublicationProhibited>false</IsPublicationProhibited>
  </dt_LegalEntityDetails>
  <dt_LegalEntityDetails>
    <PartyID>2</PartyID>
    <PartyTypeID>1</PartyTypeID>
    <DecisionID>0</DecisionID>
    <StreetName>האורן 73</StreetName>
    <CityName>גבע כרמל</CityName>
    <FullName>רן סיני</FullName>
    <IsPublicationProhibited>false</IsPublicationProhibited>
  </dt_LegalEntityDetails>
  <dt_CaseJudicalPersonActive>
    <CaseJudicalPerson>שופטת בכירה שושנה ברגר</CaseJudicalPerson>
  </dt_CaseJudicalPersonActive>
  <dt_Sitting>
    <FutureSittingDate>2025-02-26T11:00:00+02:00</FutureSittingDate>
    <PreviousMeetingDate>2024-06-25T11:30:00+03:00</PreviousMeetingDate>
    <NextSittingTypeID>2</NextSittingTypeID>
    <PreviousSittingTypeID>1</PreviousSittingTypeID>
    <NextMeetingDisplayName>שופטת בכירה שושנה ברגר</NextMeetingDisplayName>
    <NextMeetingRoleName>שופט</NextMeetingRoleName>
    <NextMeetingUserTitleName>שופטת בכירה</NextMeetingUserTitleName>
    <NextMeetingUserUPN>057920175@GOV.IL</NextMeetingUserUPN>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F02B0637-BA65-49EA-ABEC-F97C4A7504A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810</Words>
  <Characters>4051</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2024-12-22T10:07:00Z</dcterms:created>
  <dcterms:modified xsi:type="dcterms:W3CDTF">2024-12-22T10:07:00Z</dcterms:modified>
</cp:coreProperties>
</file>